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
          <w:b/>
          <w:sz w:val="28"/>
          <w:szCs w:val="28"/>
        </w:rPr>
      </w:pPr>
      <w:r>
        <w:rPr>
          <w:rFonts w:hint="eastAsia" w:eastAsia="仿宋"/>
          <w:b/>
          <w:sz w:val="28"/>
          <w:szCs w:val="28"/>
        </w:rPr>
        <w:t xml:space="preserve">附件一：  </w:t>
      </w:r>
      <w:bookmarkStart w:id="0" w:name="_GoBack"/>
      <w:r>
        <w:rPr>
          <w:rFonts w:hint="eastAsia" w:eastAsia="仿宋"/>
          <w:b/>
          <w:sz w:val="28"/>
          <w:szCs w:val="28"/>
        </w:rPr>
        <w:t>公共营养师规范化培训教学内容安排</w:t>
      </w:r>
      <w:bookmarkEnd w:id="0"/>
    </w:p>
    <w:p>
      <w:pPr>
        <w:spacing w:line="560" w:lineRule="exact"/>
        <w:ind w:firstLine="562" w:firstLineChars="200"/>
        <w:rPr>
          <w:rFonts w:eastAsia="仿宋"/>
          <w:b/>
          <w:sz w:val="28"/>
          <w:szCs w:val="28"/>
        </w:rPr>
      </w:pPr>
    </w:p>
    <w:p>
      <w:pPr>
        <w:spacing w:line="560" w:lineRule="exact"/>
        <w:ind w:firstLine="562" w:firstLineChars="200"/>
        <w:rPr>
          <w:rFonts w:eastAsia="仿宋"/>
          <w:sz w:val="28"/>
          <w:szCs w:val="28"/>
        </w:rPr>
      </w:pPr>
      <w:r>
        <w:rPr>
          <w:rFonts w:hint="eastAsia" w:eastAsia="仿宋"/>
          <w:b/>
          <w:sz w:val="28"/>
          <w:szCs w:val="28"/>
        </w:rPr>
        <w:t>1.基础知识课程安排</w:t>
      </w:r>
    </w:p>
    <w:p>
      <w:pPr>
        <w:jc w:val="center"/>
        <w:rPr>
          <w:rFonts w:eastAsia="仿宋"/>
          <w:bCs/>
          <w:sz w:val="28"/>
          <w:szCs w:val="28"/>
        </w:rPr>
      </w:pPr>
      <w:r>
        <w:rPr>
          <w:rFonts w:hint="eastAsia" w:eastAsia="仿宋"/>
          <w:bCs/>
          <w:sz w:val="28"/>
          <w:szCs w:val="28"/>
        </w:rPr>
        <w:drawing>
          <wp:inline distT="0" distB="0" distL="114300" distR="114300">
            <wp:extent cx="5102225" cy="5500370"/>
            <wp:effectExtent l="0" t="0" r="3175" b="5080"/>
            <wp:docPr id="4" name="图片 4" descr="微信图片_20201230102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1230102639"/>
                    <pic:cNvPicPr>
                      <a:picLocks noChangeAspect="1"/>
                    </pic:cNvPicPr>
                  </pic:nvPicPr>
                  <pic:blipFill>
                    <a:blip r:embed="rId4"/>
                    <a:stretch>
                      <a:fillRect/>
                    </a:stretch>
                  </pic:blipFill>
                  <pic:spPr>
                    <a:xfrm>
                      <a:off x="0" y="0"/>
                      <a:ext cx="5102225" cy="5500370"/>
                    </a:xfrm>
                    <a:prstGeom prst="rect">
                      <a:avLst/>
                    </a:prstGeom>
                  </pic:spPr>
                </pic:pic>
              </a:graphicData>
            </a:graphic>
          </wp:inline>
        </w:drawing>
      </w:r>
    </w:p>
    <w:p>
      <w:pPr>
        <w:jc w:val="left"/>
        <w:rPr>
          <w:rFonts w:eastAsia="仿宋"/>
          <w:b/>
          <w:sz w:val="28"/>
          <w:szCs w:val="28"/>
        </w:rPr>
      </w:pPr>
      <w:r>
        <w:rPr>
          <w:rFonts w:hint="eastAsia" w:eastAsia="仿宋"/>
          <w:b/>
          <w:sz w:val="28"/>
          <w:szCs w:val="28"/>
        </w:rPr>
        <w:t>2.四级技能课程安排</w:t>
      </w:r>
    </w:p>
    <w:tbl>
      <w:tblPr>
        <w:tblStyle w:val="9"/>
        <w:tblW w:w="7820" w:type="dxa"/>
        <w:tblInd w:w="392" w:type="dxa"/>
        <w:tblLayout w:type="fixed"/>
        <w:tblCellMar>
          <w:top w:w="0" w:type="dxa"/>
          <w:left w:w="108" w:type="dxa"/>
          <w:bottom w:w="0" w:type="dxa"/>
          <w:right w:w="108" w:type="dxa"/>
        </w:tblCellMar>
      </w:tblPr>
      <w:tblGrid>
        <w:gridCol w:w="2520"/>
        <w:gridCol w:w="3579"/>
        <w:gridCol w:w="1721"/>
      </w:tblGrid>
      <w:tr>
        <w:tblPrEx>
          <w:tblCellMar>
            <w:top w:w="0" w:type="dxa"/>
            <w:left w:w="108" w:type="dxa"/>
            <w:bottom w:w="0" w:type="dxa"/>
            <w:right w:w="108" w:type="dxa"/>
          </w:tblCellMar>
        </w:tblPrEx>
        <w:trPr>
          <w:trHeight w:val="340"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职业功能</w:t>
            </w:r>
          </w:p>
        </w:tc>
        <w:tc>
          <w:tcPr>
            <w:tcW w:w="3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教学内容</w:t>
            </w:r>
          </w:p>
        </w:tc>
        <w:tc>
          <w:tcPr>
            <w:tcW w:w="17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课时</w:t>
            </w:r>
          </w:p>
        </w:tc>
      </w:tr>
      <w:tr>
        <w:tblPrEx>
          <w:tblCellMar>
            <w:top w:w="0" w:type="dxa"/>
            <w:left w:w="108" w:type="dxa"/>
            <w:bottom w:w="0" w:type="dxa"/>
            <w:right w:w="108" w:type="dxa"/>
          </w:tblCellMar>
        </w:tblPrEx>
        <w:trPr>
          <w:trHeight w:val="340" w:hRule="atLeast"/>
        </w:trPr>
        <w:tc>
          <w:tcPr>
            <w:tcW w:w="25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3.2.1 膳食调查和评价</w:t>
            </w:r>
          </w:p>
        </w:tc>
        <w:tc>
          <w:tcPr>
            <w:tcW w:w="357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（1）食物摄入量调查</w:t>
            </w:r>
          </w:p>
        </w:tc>
        <w:tc>
          <w:tcPr>
            <w:tcW w:w="1721" w:type="dxa"/>
            <w:tcBorders>
              <w:top w:val="nil"/>
              <w:left w:val="nil"/>
              <w:bottom w:val="nil"/>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3课时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（2）膳食调查结果计算与评价</w:t>
            </w:r>
          </w:p>
        </w:tc>
        <w:tc>
          <w:tcPr>
            <w:tcW w:w="1721" w:type="dxa"/>
            <w:tcBorders>
              <w:top w:val="single" w:color="auto" w:sz="4" w:space="0"/>
              <w:left w:val="nil"/>
              <w:bottom w:val="nil"/>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3课时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（３）膳食营养分析与评价。</w:t>
            </w:r>
          </w:p>
        </w:tc>
        <w:tc>
          <w:tcPr>
            <w:tcW w:w="1721" w:type="dxa"/>
            <w:tcBorders>
              <w:top w:val="single" w:color="auto" w:sz="4" w:space="0"/>
              <w:left w:val="nil"/>
              <w:bottom w:val="nil"/>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3课时</w:t>
            </w:r>
          </w:p>
        </w:tc>
      </w:tr>
      <w:tr>
        <w:tblPrEx>
          <w:tblCellMar>
            <w:top w:w="0" w:type="dxa"/>
            <w:left w:w="108" w:type="dxa"/>
            <w:bottom w:w="0" w:type="dxa"/>
            <w:right w:w="108" w:type="dxa"/>
          </w:tblCellMar>
        </w:tblPrEx>
        <w:trPr>
          <w:trHeight w:val="340" w:hRule="atLeast"/>
        </w:trPr>
        <w:tc>
          <w:tcPr>
            <w:tcW w:w="25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3.2.2 人体营养状况测定和评价</w:t>
            </w:r>
          </w:p>
        </w:tc>
        <w:tc>
          <w:tcPr>
            <w:tcW w:w="357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（1）人体营养状况测定</w:t>
            </w:r>
          </w:p>
        </w:tc>
        <w:tc>
          <w:tcPr>
            <w:tcW w:w="17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5课时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（2）实验室指标收集和判断</w:t>
            </w:r>
          </w:p>
        </w:tc>
        <w:tc>
          <w:tcPr>
            <w:tcW w:w="1721"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4课时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（3）营养缺乏症状和体征判别</w:t>
            </w:r>
          </w:p>
        </w:tc>
        <w:tc>
          <w:tcPr>
            <w:tcW w:w="1721"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6课时</w:t>
            </w:r>
          </w:p>
        </w:tc>
      </w:tr>
      <w:tr>
        <w:tblPrEx>
          <w:tblCellMar>
            <w:top w:w="0" w:type="dxa"/>
            <w:left w:w="108" w:type="dxa"/>
            <w:bottom w:w="0" w:type="dxa"/>
            <w:right w:w="108" w:type="dxa"/>
          </w:tblCellMar>
        </w:tblPrEx>
        <w:trPr>
          <w:trHeight w:val="340" w:hRule="atLeast"/>
        </w:trPr>
        <w:tc>
          <w:tcPr>
            <w:tcW w:w="25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3.2.3 膳食指导和评估</w:t>
            </w:r>
          </w:p>
        </w:tc>
        <w:tc>
          <w:tcPr>
            <w:tcW w:w="3579" w:type="dxa"/>
            <w:tcBorders>
              <w:top w:val="nil"/>
              <w:left w:val="nil"/>
              <w:bottom w:val="single" w:color="auto" w:sz="4" w:space="0"/>
              <w:right w:val="single" w:color="auto" w:sz="4" w:space="0"/>
            </w:tcBorders>
            <w:shd w:val="clear" w:color="auto" w:fill="auto"/>
            <w:noWrap/>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（1）食物选购和评价</w:t>
            </w:r>
          </w:p>
        </w:tc>
        <w:tc>
          <w:tcPr>
            <w:tcW w:w="172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共15课时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 xml:space="preserve">（2）营养和食物需要量确定 </w:t>
            </w:r>
          </w:p>
        </w:tc>
        <w:tc>
          <w:tcPr>
            <w:tcW w:w="1721"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szCs w:val="24"/>
              </w:rPr>
            </w:pP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（3）食谱设计</w:t>
            </w:r>
          </w:p>
        </w:tc>
        <w:tc>
          <w:tcPr>
            <w:tcW w:w="1721"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szCs w:val="24"/>
              </w:rPr>
            </w:pP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（4）膳食制作和指导</w:t>
            </w:r>
          </w:p>
        </w:tc>
        <w:tc>
          <w:tcPr>
            <w:tcW w:w="1721"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szCs w:val="24"/>
              </w:rPr>
            </w:pPr>
          </w:p>
        </w:tc>
      </w:tr>
      <w:tr>
        <w:tblPrEx>
          <w:tblCellMar>
            <w:top w:w="0" w:type="dxa"/>
            <w:left w:w="108" w:type="dxa"/>
            <w:bottom w:w="0" w:type="dxa"/>
            <w:right w:w="108" w:type="dxa"/>
          </w:tblCellMar>
        </w:tblPrEx>
        <w:trPr>
          <w:trHeight w:val="340" w:hRule="atLeast"/>
        </w:trPr>
        <w:tc>
          <w:tcPr>
            <w:tcW w:w="2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3.2.4 食品营养与评价</w:t>
            </w:r>
          </w:p>
        </w:tc>
        <w:tc>
          <w:tcPr>
            <w:tcW w:w="3579" w:type="dxa"/>
            <w:tcBorders>
              <w:top w:val="nil"/>
              <w:left w:val="nil"/>
              <w:bottom w:val="single" w:color="000000" w:sz="4" w:space="0"/>
              <w:right w:val="nil"/>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（1）食品样品收集和标签解读</w:t>
            </w:r>
          </w:p>
        </w:tc>
        <w:tc>
          <w:tcPr>
            <w:tcW w:w="172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共10课时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000000" w:sz="4" w:space="0"/>
              <w:right w:val="nil"/>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（2）食品营养价值分析</w:t>
            </w:r>
          </w:p>
        </w:tc>
        <w:tc>
          <w:tcPr>
            <w:tcW w:w="1721"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szCs w:val="24"/>
              </w:rPr>
            </w:pPr>
          </w:p>
        </w:tc>
      </w:tr>
      <w:tr>
        <w:tblPrEx>
          <w:tblCellMar>
            <w:top w:w="0" w:type="dxa"/>
            <w:left w:w="108" w:type="dxa"/>
            <w:bottom w:w="0" w:type="dxa"/>
            <w:right w:w="108" w:type="dxa"/>
          </w:tblCellMar>
        </w:tblPrEx>
        <w:trPr>
          <w:trHeight w:val="340" w:hRule="atLeast"/>
        </w:trPr>
        <w:tc>
          <w:tcPr>
            <w:tcW w:w="25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3.2.5 社区营养管理和干预</w:t>
            </w:r>
          </w:p>
        </w:tc>
        <w:tc>
          <w:tcPr>
            <w:tcW w:w="357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（1）营养与健康信息收集</w:t>
            </w:r>
          </w:p>
        </w:tc>
        <w:tc>
          <w:tcPr>
            <w:tcW w:w="1721" w:type="dxa"/>
            <w:tcBorders>
              <w:top w:val="nil"/>
              <w:left w:val="nil"/>
              <w:bottom w:val="nil"/>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2课时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 xml:space="preserve">（2）营养与健康档案建立和管理 </w:t>
            </w:r>
          </w:p>
        </w:tc>
        <w:tc>
          <w:tcPr>
            <w:tcW w:w="17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8课时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（3）营养干预</w:t>
            </w:r>
          </w:p>
        </w:tc>
        <w:tc>
          <w:tcPr>
            <w:tcW w:w="1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szCs w:val="24"/>
              </w:rPr>
            </w:pPr>
          </w:p>
        </w:tc>
      </w:tr>
    </w:tbl>
    <w:p>
      <w:pPr>
        <w:jc w:val="left"/>
        <w:rPr>
          <w:rFonts w:eastAsia="仿宋"/>
          <w:b/>
          <w:sz w:val="28"/>
          <w:szCs w:val="28"/>
        </w:rPr>
      </w:pPr>
    </w:p>
    <w:p>
      <w:pPr>
        <w:jc w:val="left"/>
        <w:rPr>
          <w:rFonts w:eastAsia="仿宋"/>
          <w:b/>
          <w:sz w:val="28"/>
          <w:szCs w:val="28"/>
        </w:rPr>
      </w:pPr>
      <w:r>
        <w:rPr>
          <w:rFonts w:hint="eastAsia" w:eastAsia="仿宋"/>
          <w:b/>
          <w:sz w:val="28"/>
          <w:szCs w:val="28"/>
        </w:rPr>
        <w:t>3.三级技能课程安排</w:t>
      </w:r>
    </w:p>
    <w:tbl>
      <w:tblPr>
        <w:tblStyle w:val="9"/>
        <w:tblW w:w="7785" w:type="dxa"/>
        <w:tblInd w:w="392" w:type="dxa"/>
        <w:tblLayout w:type="fixed"/>
        <w:tblCellMar>
          <w:top w:w="0" w:type="dxa"/>
          <w:left w:w="108" w:type="dxa"/>
          <w:bottom w:w="0" w:type="dxa"/>
          <w:right w:w="108" w:type="dxa"/>
        </w:tblCellMar>
      </w:tblPr>
      <w:tblGrid>
        <w:gridCol w:w="2520"/>
        <w:gridCol w:w="3579"/>
        <w:gridCol w:w="1686"/>
      </w:tblGrid>
      <w:tr>
        <w:tblPrEx>
          <w:tblCellMar>
            <w:top w:w="0" w:type="dxa"/>
            <w:left w:w="108" w:type="dxa"/>
            <w:bottom w:w="0" w:type="dxa"/>
            <w:right w:w="108" w:type="dxa"/>
          </w:tblCellMar>
        </w:tblPrEx>
        <w:trPr>
          <w:trHeight w:val="340" w:hRule="atLeas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职业功能</w:t>
            </w:r>
          </w:p>
        </w:tc>
        <w:tc>
          <w:tcPr>
            <w:tcW w:w="357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教学内容</w:t>
            </w:r>
          </w:p>
        </w:tc>
        <w:tc>
          <w:tcPr>
            <w:tcW w:w="1686" w:type="dxa"/>
            <w:tcBorders>
              <w:top w:val="single" w:color="000000" w:sz="4" w:space="0"/>
              <w:left w:val="nil"/>
              <w:bottom w:val="nil"/>
              <w:right w:val="single" w:color="000000" w:sz="4" w:space="0"/>
            </w:tcBorders>
            <w:shd w:val="clear" w:color="auto" w:fill="auto"/>
            <w:noWrap/>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课时</w:t>
            </w:r>
          </w:p>
        </w:tc>
      </w:tr>
      <w:tr>
        <w:tblPrEx>
          <w:tblCellMar>
            <w:top w:w="0" w:type="dxa"/>
            <w:left w:w="108" w:type="dxa"/>
            <w:bottom w:w="0" w:type="dxa"/>
            <w:right w:w="108" w:type="dxa"/>
          </w:tblCellMar>
        </w:tblPrEx>
        <w:trPr>
          <w:trHeight w:val="340" w:hRule="atLeast"/>
        </w:trPr>
        <w:tc>
          <w:tcPr>
            <w:tcW w:w="2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3.1 膳食调查和评价</w:t>
            </w: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（1）食物摄入量调查</w:t>
            </w:r>
          </w:p>
        </w:tc>
        <w:tc>
          <w:tcPr>
            <w:tcW w:w="1686" w:type="dxa"/>
            <w:tcBorders>
              <w:top w:val="single" w:color="auto" w:sz="4" w:space="0"/>
              <w:left w:val="nil"/>
              <w:bottom w:val="nil"/>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2课时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（2）营养素摄入量计算。</w:t>
            </w:r>
          </w:p>
        </w:tc>
        <w:tc>
          <w:tcPr>
            <w:tcW w:w="1686" w:type="dxa"/>
            <w:tcBorders>
              <w:top w:val="single" w:color="auto" w:sz="4" w:space="0"/>
              <w:left w:val="nil"/>
              <w:bottom w:val="nil"/>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2课时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（3）膳食调查结果的计算与评价</w:t>
            </w:r>
          </w:p>
        </w:tc>
        <w:tc>
          <w:tcPr>
            <w:tcW w:w="16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2课时</w:t>
            </w:r>
          </w:p>
        </w:tc>
      </w:tr>
      <w:tr>
        <w:tblPrEx>
          <w:tblCellMar>
            <w:top w:w="0" w:type="dxa"/>
            <w:left w:w="108" w:type="dxa"/>
            <w:bottom w:w="0" w:type="dxa"/>
            <w:right w:w="108" w:type="dxa"/>
          </w:tblCellMar>
        </w:tblPrEx>
        <w:trPr>
          <w:trHeight w:val="340" w:hRule="atLeast"/>
        </w:trPr>
        <w:tc>
          <w:tcPr>
            <w:tcW w:w="2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3.2 人体营养状况测定和评价</w:t>
            </w: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（1）人体体格测量</w:t>
            </w: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9课时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000000" w:sz="4" w:space="0"/>
              <w:right w:val="single" w:color="000000" w:sz="4" w:space="0"/>
            </w:tcBorders>
            <w:shd w:val="clear" w:color="auto" w:fill="auto"/>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（2）生物样本</w:t>
            </w: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2课时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（3）营养不良的症状和体征判别</w:t>
            </w: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4课时</w:t>
            </w:r>
          </w:p>
        </w:tc>
      </w:tr>
      <w:tr>
        <w:tblPrEx>
          <w:tblCellMar>
            <w:top w:w="0" w:type="dxa"/>
            <w:left w:w="108" w:type="dxa"/>
            <w:bottom w:w="0" w:type="dxa"/>
            <w:right w:w="108" w:type="dxa"/>
          </w:tblCellMar>
        </w:tblPrEx>
        <w:trPr>
          <w:trHeight w:val="340" w:hRule="atLeast"/>
        </w:trPr>
        <w:tc>
          <w:tcPr>
            <w:tcW w:w="2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3.3 营养咨询和教育</w:t>
            </w: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 xml:space="preserve">（1）营养与食品安全知识咨询 </w:t>
            </w:r>
          </w:p>
        </w:tc>
        <w:tc>
          <w:tcPr>
            <w:tcW w:w="1686" w:type="dxa"/>
            <w:tcBorders>
              <w:top w:val="nil"/>
              <w:left w:val="nil"/>
              <w:bottom w:val="nil"/>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5课时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（2）营养教育</w:t>
            </w:r>
          </w:p>
        </w:tc>
        <w:tc>
          <w:tcPr>
            <w:tcW w:w="1686" w:type="dxa"/>
            <w:tcBorders>
              <w:top w:val="single" w:color="auto" w:sz="4" w:space="0"/>
              <w:left w:val="nil"/>
              <w:bottom w:val="nil"/>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5课时</w:t>
            </w:r>
          </w:p>
        </w:tc>
      </w:tr>
      <w:tr>
        <w:tblPrEx>
          <w:tblCellMar>
            <w:top w:w="0" w:type="dxa"/>
            <w:left w:w="108" w:type="dxa"/>
            <w:bottom w:w="0" w:type="dxa"/>
            <w:right w:w="108" w:type="dxa"/>
          </w:tblCellMar>
        </w:tblPrEx>
        <w:trPr>
          <w:trHeight w:val="340" w:hRule="atLeast"/>
        </w:trPr>
        <w:tc>
          <w:tcPr>
            <w:tcW w:w="2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3.4 膳食指导和评估</w:t>
            </w: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（1）食物选购和评价</w:t>
            </w:r>
          </w:p>
        </w:tc>
        <w:tc>
          <w:tcPr>
            <w:tcW w:w="16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15课时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（2）营养和食物需要目标设计</w:t>
            </w:r>
          </w:p>
        </w:tc>
        <w:tc>
          <w:tcPr>
            <w:tcW w:w="1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szCs w:val="24"/>
              </w:rPr>
            </w:pP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（3）食谱编制</w:t>
            </w:r>
          </w:p>
        </w:tc>
        <w:tc>
          <w:tcPr>
            <w:tcW w:w="1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szCs w:val="24"/>
              </w:rPr>
            </w:pP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（4）食谱营养评价和调整</w:t>
            </w:r>
          </w:p>
        </w:tc>
        <w:tc>
          <w:tcPr>
            <w:tcW w:w="1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szCs w:val="24"/>
              </w:rPr>
            </w:pPr>
          </w:p>
        </w:tc>
      </w:tr>
      <w:tr>
        <w:tblPrEx>
          <w:tblCellMar>
            <w:top w:w="0" w:type="dxa"/>
            <w:left w:w="108" w:type="dxa"/>
            <w:bottom w:w="0" w:type="dxa"/>
            <w:right w:w="108" w:type="dxa"/>
          </w:tblCellMar>
        </w:tblPrEx>
        <w:trPr>
          <w:trHeight w:val="340" w:hRule="atLeast"/>
        </w:trPr>
        <w:tc>
          <w:tcPr>
            <w:tcW w:w="2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3.5 食品营养评价</w:t>
            </w: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（1）食品营养标签的制作</w:t>
            </w: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2课时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（2）食品营养价值分析</w:t>
            </w: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2课时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（3）食品营养资料编写</w:t>
            </w: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2课时</w:t>
            </w:r>
          </w:p>
        </w:tc>
      </w:tr>
      <w:tr>
        <w:tblPrEx>
          <w:tblCellMar>
            <w:top w:w="0" w:type="dxa"/>
            <w:left w:w="108" w:type="dxa"/>
            <w:bottom w:w="0" w:type="dxa"/>
            <w:right w:w="108" w:type="dxa"/>
          </w:tblCellMar>
        </w:tblPrEx>
        <w:trPr>
          <w:trHeight w:val="340" w:hRule="atLeast"/>
        </w:trPr>
        <w:tc>
          <w:tcPr>
            <w:tcW w:w="2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3.6 社区营养管理和营养干预</w:t>
            </w: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 xml:space="preserve">（1）营养与健康信息的收集 </w:t>
            </w: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2课时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 xml:space="preserve">（2）营养与健康档案建立和管理 </w:t>
            </w: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2课时</w:t>
            </w:r>
          </w:p>
        </w:tc>
      </w:tr>
      <w:tr>
        <w:tblPrEx>
          <w:tblCellMar>
            <w:top w:w="0" w:type="dxa"/>
            <w:left w:w="108" w:type="dxa"/>
            <w:bottom w:w="0" w:type="dxa"/>
            <w:right w:w="108" w:type="dxa"/>
          </w:tblCellMar>
        </w:tblPrEx>
        <w:trPr>
          <w:trHeight w:val="340" w:hRule="atLeast"/>
        </w:trPr>
        <w:tc>
          <w:tcPr>
            <w:tcW w:w="2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24"/>
                <w:szCs w:val="24"/>
              </w:rPr>
            </w:pPr>
          </w:p>
        </w:tc>
        <w:tc>
          <w:tcPr>
            <w:tcW w:w="3579" w:type="dxa"/>
            <w:tcBorders>
              <w:top w:val="nil"/>
              <w:left w:val="nil"/>
              <w:bottom w:val="single" w:color="000000"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（3）营养干预</w:t>
            </w:r>
          </w:p>
        </w:tc>
        <w:tc>
          <w:tcPr>
            <w:tcW w:w="168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2课时</w:t>
            </w:r>
          </w:p>
        </w:tc>
      </w:tr>
    </w:tbl>
    <w:p/>
    <w:p>
      <w:pPr>
        <w:rPr>
          <w:b/>
          <w:bCs/>
          <w:sz w:val="28"/>
          <w:szCs w:val="32"/>
        </w:rPr>
      </w:pPr>
    </w:p>
    <w:p>
      <w:pPr>
        <w:rPr>
          <w:b/>
          <w:bCs/>
          <w:sz w:val="28"/>
          <w:szCs w:val="32"/>
        </w:rPr>
      </w:pPr>
    </w:p>
    <w:p>
      <w:pPr>
        <w:rPr>
          <w:b/>
          <w:bCs/>
          <w:sz w:val="28"/>
          <w:szCs w:val="32"/>
        </w:rPr>
      </w:pPr>
    </w:p>
    <w:p>
      <w:pPr>
        <w:rPr>
          <w:rFonts w:hint="eastAsia"/>
          <w:b/>
          <w:bCs/>
          <w:sz w:val="28"/>
          <w:szCs w:val="32"/>
        </w:rPr>
      </w:pPr>
    </w:p>
    <w:p>
      <w:pPr>
        <w:rPr>
          <w:b/>
          <w:bCs/>
          <w:sz w:val="28"/>
          <w:szCs w:val="32"/>
        </w:rPr>
      </w:pPr>
      <w:r>
        <w:rPr>
          <w:rFonts w:hint="eastAsia"/>
          <w:b/>
          <w:bCs/>
          <w:sz w:val="28"/>
          <w:szCs w:val="32"/>
        </w:rPr>
        <w:t>附件二</w:t>
      </w:r>
    </w:p>
    <w:p/>
    <w:p>
      <w:pPr>
        <w:ind w:firstLine="1921" w:firstLineChars="600"/>
        <w:rPr>
          <w:rFonts w:ascii="Heiti SC Medium" w:hAnsi="Heiti SC Medium" w:eastAsia="Heiti SC Medium"/>
          <w:b/>
          <w:sz w:val="32"/>
          <w:szCs w:val="32"/>
        </w:rPr>
      </w:pPr>
      <w:r>
        <w:rPr>
          <w:rFonts w:hint="eastAsia" w:ascii="Heiti SC Medium" w:hAnsi="Heiti SC Medium" w:eastAsia="Heiti SC Medium"/>
          <w:b/>
          <w:sz w:val="32"/>
          <w:szCs w:val="32"/>
        </w:rPr>
        <w:t>公共营养师规范化培训问答</w:t>
      </w:r>
    </w:p>
    <w:p>
      <w:pPr>
        <w:autoSpaceDE w:val="0"/>
        <w:autoSpaceDN w:val="0"/>
        <w:adjustRightInd w:val="0"/>
        <w:jc w:val="left"/>
        <w:rPr>
          <w:rFonts w:ascii="宋体" w:hAnsi="宋体" w:cs=".PingFang SC"/>
          <w:kern w:val="0"/>
          <w:szCs w:val="21"/>
        </w:rPr>
      </w:pPr>
    </w:p>
    <w:p>
      <w:pPr>
        <w:autoSpaceDE w:val="0"/>
        <w:autoSpaceDN w:val="0"/>
        <w:adjustRightInd w:val="0"/>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公共营养师基础知识和技能是营养从业人员进入营养行业必须掌握的知识，是公共营养师各级别技能人才学习技能的基础。</w:t>
      </w:r>
    </w:p>
    <w:p>
      <w:pPr>
        <w:autoSpaceDE w:val="0"/>
        <w:autoSpaceDN w:val="0"/>
        <w:adjustRightInd w:val="0"/>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2020年9月，健康中国行动推进委员会办公室印发的《推进实施健康中国行动2020年工作计划》中提出“加强营养专业人才队伍建设，完成国民营养健康专家委员会的组建工作；试点推进开展公共营养师的培训”的要求。</w:t>
      </w:r>
    </w:p>
    <w:p>
      <w:pPr>
        <w:numPr>
          <w:ilvl w:val="0"/>
          <w:numId w:val="1"/>
        </w:numPr>
        <w:autoSpaceDE w:val="0"/>
        <w:autoSpaceDN w:val="0"/>
        <w:adjustRightInd w:val="0"/>
        <w:jc w:val="left"/>
        <w:rPr>
          <w:rFonts w:hint="eastAsia" w:ascii="华文仿宋" w:hAnsi="华文仿宋" w:eastAsia="华文仿宋" w:cs="华文仿宋"/>
          <w:b/>
          <w:kern w:val="0"/>
          <w:sz w:val="24"/>
          <w:szCs w:val="24"/>
        </w:rPr>
      </w:pPr>
      <w:r>
        <w:rPr>
          <w:rFonts w:hint="eastAsia" w:ascii="华文仿宋" w:hAnsi="华文仿宋" w:eastAsia="华文仿宋" w:cs="华文仿宋"/>
          <w:b/>
          <w:kern w:val="0"/>
          <w:sz w:val="24"/>
          <w:szCs w:val="24"/>
        </w:rPr>
        <w:t>公共营养师不是取消考试了吗？</w:t>
      </w:r>
    </w:p>
    <w:p>
      <w:pPr>
        <w:keepNext w:val="0"/>
        <w:keepLines/>
        <w:pageBreakBefore w:val="0"/>
        <w:widowControl w:val="0"/>
        <w:numPr>
          <w:ilvl w:val="0"/>
          <w:numId w:val="0"/>
        </w:numPr>
        <w:kinsoku w:val="0"/>
        <w:wordWrap/>
        <w:overflowPunct w:val="0"/>
        <w:topLinePunct w:val="0"/>
        <w:autoSpaceDE w:val="0"/>
        <w:autoSpaceDN w:val="0"/>
        <w:bidi w:val="0"/>
        <w:adjustRightInd w:val="0"/>
        <w:snapToGrid/>
        <w:ind w:firstLine="480" w:firstLineChars="200"/>
        <w:jc w:val="left"/>
        <w:textAlignment w:val="auto"/>
        <w:rPr>
          <w:rFonts w:hint="eastAsia" w:ascii="华文仿宋" w:hAnsi="华文仿宋" w:eastAsia="华文仿宋" w:cs="华文仿宋"/>
          <w:b w:val="0"/>
          <w:bCs w:val="0"/>
          <w:kern w:val="0"/>
          <w:sz w:val="24"/>
          <w:szCs w:val="24"/>
        </w:rPr>
      </w:pPr>
      <w:r>
        <w:rPr>
          <w:rFonts w:hint="eastAsia" w:ascii="华文仿宋" w:hAnsi="华文仿宋" w:eastAsia="华文仿宋" w:cs="华文仿宋"/>
          <w:b w:val="0"/>
          <w:bCs w:val="0"/>
          <w:kern w:val="0"/>
          <w:sz w:val="24"/>
          <w:szCs w:val="24"/>
        </w:rPr>
        <w:t>2016年，人社部不再颁发公共营养师职业资格证，但“公共营养师”这一职业没有取消。在</w:t>
      </w:r>
      <w:r>
        <w:rPr>
          <w:rFonts w:hint="eastAsia" w:ascii="华文仿宋" w:hAnsi="华文仿宋" w:eastAsia="华文仿宋" w:cs="华文仿宋"/>
          <w:b w:val="0"/>
          <w:bCs w:val="0"/>
          <w:kern w:val="0"/>
          <w:sz w:val="24"/>
          <w:szCs w:val="24"/>
          <w:shd w:val="clear" w:color="auto" w:fill="FFFFFF"/>
        </w:rPr>
        <w:t>《中国职业分类大典》</w:t>
      </w:r>
      <w:r>
        <w:rPr>
          <w:rFonts w:hint="eastAsia" w:ascii="华文仿宋" w:hAnsi="华文仿宋" w:eastAsia="华文仿宋" w:cs="华文仿宋"/>
          <w:b w:val="0"/>
          <w:bCs w:val="0"/>
          <w:kern w:val="0"/>
          <w:sz w:val="24"/>
          <w:szCs w:val="24"/>
        </w:rPr>
        <w:t>中第四大类中</w:t>
      </w:r>
      <w:r>
        <w:rPr>
          <w:rFonts w:hint="eastAsia" w:ascii="华文仿宋" w:hAnsi="华文仿宋" w:eastAsia="华文仿宋" w:cs="华文仿宋"/>
          <w:b w:val="0"/>
          <w:bCs w:val="0"/>
          <w:kern w:val="0"/>
          <w:sz w:val="24"/>
          <w:szCs w:val="24"/>
          <w:shd w:val="clear" w:color="auto" w:fill="FFFFFF"/>
        </w:rPr>
        <w:t>41402-01</w:t>
      </w:r>
      <w:r>
        <w:rPr>
          <w:rFonts w:hint="eastAsia" w:ascii="华文仿宋" w:hAnsi="华文仿宋" w:eastAsia="华文仿宋" w:cs="华文仿宋"/>
          <w:b w:val="0"/>
          <w:bCs w:val="0"/>
          <w:kern w:val="0"/>
          <w:sz w:val="24"/>
          <w:szCs w:val="24"/>
        </w:rPr>
        <w:t>为</w:t>
      </w:r>
      <w:r>
        <w:rPr>
          <w:rFonts w:hint="eastAsia" w:ascii="华文仿宋" w:hAnsi="华文仿宋" w:eastAsia="华文仿宋" w:cs="华文仿宋"/>
          <w:b w:val="0"/>
          <w:bCs w:val="0"/>
          <w:kern w:val="0"/>
          <w:sz w:val="24"/>
          <w:szCs w:val="24"/>
          <w:shd w:val="clear" w:color="auto" w:fill="FFFFFF"/>
        </w:rPr>
        <w:t>公共营养师</w:t>
      </w:r>
      <w:r>
        <w:rPr>
          <w:rFonts w:hint="eastAsia" w:ascii="华文仿宋" w:hAnsi="华文仿宋" w:eastAsia="华文仿宋" w:cs="华文仿宋"/>
          <w:b w:val="0"/>
          <w:bCs w:val="0"/>
          <w:kern w:val="0"/>
          <w:sz w:val="24"/>
          <w:szCs w:val="24"/>
        </w:rPr>
        <w:t>。目前营养专业人才队伍建设由国家卫建委牵头，教育部、人力资源社会保障部按职责分工在推进。行业协会/学会及社会第三方机构组织培训。</w:t>
      </w:r>
    </w:p>
    <w:p>
      <w:pPr>
        <w:pStyle w:val="2"/>
        <w:keepNext w:val="0"/>
        <w:keepLines/>
        <w:pageBreakBefore w:val="0"/>
        <w:widowControl w:val="0"/>
        <w:shd w:val="clear" w:color="auto" w:fill="FFFFFF"/>
        <w:kinsoku w:val="0"/>
        <w:wordWrap/>
        <w:overflowPunct w:val="0"/>
        <w:topLinePunct w:val="0"/>
        <w:autoSpaceDE w:val="0"/>
        <w:autoSpaceDN w:val="0"/>
        <w:bidi w:val="0"/>
        <w:adjustRightInd w:val="0"/>
        <w:snapToGrid/>
        <w:spacing w:before="0" w:beforeAutospacing="0" w:after="0" w:afterAutospacing="0" w:line="240" w:lineRule="auto"/>
        <w:ind w:firstLine="480" w:firstLineChars="200"/>
        <w:jc w:val="left"/>
        <w:textAlignment w:val="auto"/>
        <w:rPr>
          <w:rFonts w:ascii="华文仿宋" w:hAnsi="华文仿宋" w:eastAsia="华文仿宋" w:cs="华文仿宋"/>
          <w:b w:val="0"/>
          <w:bCs w:val="0"/>
          <w:kern w:val="0"/>
          <w:sz w:val="24"/>
          <w:szCs w:val="24"/>
        </w:rPr>
      </w:pPr>
      <w:r>
        <w:rPr>
          <w:rFonts w:hint="eastAsia" w:ascii="华文仿宋" w:hAnsi="华文仿宋" w:eastAsia="华文仿宋" w:cs="华文仿宋"/>
          <w:b w:val="0"/>
          <w:bCs w:val="0"/>
          <w:kern w:val="0"/>
          <w:sz w:val="24"/>
          <w:szCs w:val="24"/>
        </w:rPr>
        <w:t>为了提升营养师人才的专业素质，中国营养学会教育培训中心特组织开展公共营养师规范化培训并制定了《营养人才培训机构备案管理办法（试行）》。</w:t>
      </w:r>
    </w:p>
    <w:p>
      <w:pPr>
        <w:keepNext w:val="0"/>
        <w:keepLines/>
        <w:pageBreakBefore w:val="0"/>
        <w:widowControl w:val="0"/>
        <w:kinsoku w:val="0"/>
        <w:wordWrap/>
        <w:overflowPunct w:val="0"/>
        <w:topLinePunct w:val="0"/>
        <w:autoSpaceDE w:val="0"/>
        <w:autoSpaceDN w:val="0"/>
        <w:bidi w:val="0"/>
        <w:adjustRightInd w:val="0"/>
        <w:snapToGrid/>
        <w:ind w:firstLine="480" w:firstLineChars="200"/>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此次合作的北京营养师协会为中国营养学会“营养专业人才规范化培训工作试点机构”。</w:t>
      </w:r>
    </w:p>
    <w:p>
      <w:pPr>
        <w:autoSpaceDE w:val="0"/>
        <w:autoSpaceDN w:val="0"/>
        <w:adjustRightInd w:val="0"/>
        <w:jc w:val="left"/>
        <w:rPr>
          <w:rFonts w:ascii="华文仿宋" w:hAnsi="华文仿宋" w:eastAsia="华文仿宋" w:cs="华文仿宋"/>
          <w:b/>
          <w:kern w:val="0"/>
          <w:sz w:val="24"/>
          <w:szCs w:val="21"/>
        </w:rPr>
      </w:pPr>
      <w:r>
        <w:rPr>
          <w:rFonts w:hint="eastAsia" w:ascii="华文仿宋" w:hAnsi="华文仿宋" w:eastAsia="华文仿宋" w:cs="华文仿宋"/>
          <w:b/>
          <w:kern w:val="0"/>
          <w:sz w:val="24"/>
          <w:szCs w:val="21"/>
        </w:rPr>
        <w:t>2、公共营养师入门级别是哪个，哪个级别最高？</w:t>
      </w:r>
    </w:p>
    <w:p>
      <w:pPr>
        <w:autoSpaceDE w:val="0"/>
        <w:autoSpaceDN w:val="0"/>
        <w:adjustRightInd w:val="0"/>
        <w:jc w:val="left"/>
        <w:rPr>
          <w:rFonts w:hint="eastAsia" w:ascii="华文仿宋" w:hAnsi="华文仿宋" w:eastAsia="华文仿宋" w:cs="华文仿宋"/>
          <w:kern w:val="0"/>
          <w:sz w:val="24"/>
          <w:szCs w:val="21"/>
          <w:lang w:eastAsia="zh-CN"/>
        </w:rPr>
      </w:pPr>
      <w:r>
        <w:rPr>
          <w:rFonts w:hint="eastAsia" w:ascii="华文仿宋" w:hAnsi="华文仿宋" w:eastAsia="华文仿宋" w:cs="华文仿宋"/>
          <w:kern w:val="0"/>
          <w:sz w:val="24"/>
          <w:szCs w:val="21"/>
        </w:rPr>
        <w:t>级别依次是四级、三级、二级、一级。 一级最高，目前只安排四级和三级公共营养师培训。一、二级报考，需要等相关通知</w:t>
      </w:r>
      <w:r>
        <w:rPr>
          <w:rFonts w:hint="eastAsia" w:ascii="华文仿宋" w:hAnsi="华文仿宋" w:eastAsia="华文仿宋" w:cs="华文仿宋"/>
          <w:kern w:val="0"/>
          <w:sz w:val="24"/>
          <w:szCs w:val="21"/>
          <w:lang w:eastAsia="zh-CN"/>
        </w:rPr>
        <w:t>。</w:t>
      </w:r>
    </w:p>
    <w:p>
      <w:pPr>
        <w:autoSpaceDE w:val="0"/>
        <w:autoSpaceDN w:val="0"/>
        <w:adjustRightInd w:val="0"/>
        <w:jc w:val="left"/>
        <w:rPr>
          <w:rFonts w:ascii="华文仿宋" w:hAnsi="华文仿宋" w:eastAsia="华文仿宋" w:cs="华文仿宋"/>
          <w:kern w:val="0"/>
          <w:sz w:val="24"/>
          <w:szCs w:val="21"/>
        </w:rPr>
      </w:pPr>
      <w:r>
        <w:rPr>
          <w:rFonts w:hint="eastAsia" w:ascii="华文仿宋" w:hAnsi="华文仿宋" w:eastAsia="华文仿宋" w:cs="华文仿宋"/>
          <w:b/>
          <w:kern w:val="0"/>
          <w:sz w:val="24"/>
          <w:szCs w:val="21"/>
        </w:rPr>
        <w:t>3、必须考过四级才能考三级吗？</w:t>
      </w:r>
      <w:r>
        <w:rPr>
          <w:rFonts w:ascii="华文仿宋" w:hAnsi="华文仿宋" w:eastAsia="华文仿宋" w:cs="华文仿宋"/>
          <w:kern w:val="0"/>
          <w:sz w:val="24"/>
          <w:szCs w:val="21"/>
        </w:rPr>
        <w:t xml:space="preserve"> </w:t>
      </w:r>
    </w:p>
    <w:p>
      <w:pPr>
        <w:autoSpaceDE w:val="0"/>
        <w:autoSpaceDN w:val="0"/>
        <w:adjustRightInd w:val="0"/>
        <w:ind w:firstLine="480" w:firstLineChars="200"/>
        <w:jc w:val="left"/>
        <w:rPr>
          <w:rFonts w:ascii="华文仿宋" w:hAnsi="华文仿宋" w:eastAsia="华文仿宋" w:cs="华文仿宋"/>
          <w:kern w:val="0"/>
          <w:sz w:val="24"/>
          <w:szCs w:val="21"/>
        </w:rPr>
      </w:pPr>
      <w:r>
        <w:rPr>
          <w:rFonts w:hint="eastAsia" w:ascii="华文仿宋" w:hAnsi="华文仿宋" w:eastAsia="华文仿宋" w:cs="华文仿宋"/>
          <w:kern w:val="0"/>
          <w:sz w:val="24"/>
          <w:szCs w:val="21"/>
        </w:rPr>
        <w:t>原则上是从低级开始考。不同级别对个人学历等硬性条件有不同要求，目前可采用中专及中专以上学历可以参加四级培训，专科以上学历可以报名参加三级课培训。</w:t>
      </w:r>
    </w:p>
    <w:p>
      <w:pPr>
        <w:autoSpaceDE w:val="0"/>
        <w:autoSpaceDN w:val="0"/>
        <w:adjustRightInd w:val="0"/>
        <w:jc w:val="left"/>
        <w:rPr>
          <w:rFonts w:ascii="华文仿宋" w:hAnsi="华文仿宋" w:eastAsia="华文仿宋" w:cs="华文仿宋"/>
          <w:b/>
          <w:kern w:val="0"/>
          <w:sz w:val="24"/>
          <w:szCs w:val="21"/>
        </w:rPr>
      </w:pPr>
      <w:r>
        <w:rPr>
          <w:rFonts w:hint="eastAsia" w:ascii="华文仿宋" w:hAnsi="华文仿宋" w:eastAsia="华文仿宋" w:cs="华文仿宋"/>
          <w:b/>
          <w:kern w:val="0"/>
          <w:sz w:val="24"/>
          <w:szCs w:val="21"/>
        </w:rPr>
        <w:t>4、三级和四级难度一样吗？</w:t>
      </w:r>
    </w:p>
    <w:p>
      <w:pPr>
        <w:autoSpaceDE w:val="0"/>
        <w:autoSpaceDN w:val="0"/>
        <w:adjustRightInd w:val="0"/>
        <w:ind w:firstLine="480" w:firstLineChars="200"/>
        <w:jc w:val="left"/>
        <w:rPr>
          <w:rFonts w:ascii="华文仿宋" w:hAnsi="华文仿宋" w:eastAsia="华文仿宋" w:cs="华文仿宋"/>
          <w:kern w:val="0"/>
          <w:sz w:val="24"/>
          <w:szCs w:val="21"/>
        </w:rPr>
      </w:pPr>
      <w:r>
        <w:rPr>
          <w:rFonts w:hint="eastAsia" w:ascii="华文仿宋" w:hAnsi="华文仿宋" w:eastAsia="华文仿宋" w:cs="华文仿宋"/>
          <w:kern w:val="0"/>
          <w:sz w:val="24"/>
          <w:szCs w:val="21"/>
        </w:rPr>
        <w:t>三级和四级中皆包含基础课程，且三级包含四级部分内容。可参见级别对应的技能培训大纲。</w:t>
      </w:r>
    </w:p>
    <w:p>
      <w:pPr>
        <w:autoSpaceDE w:val="0"/>
        <w:autoSpaceDN w:val="0"/>
        <w:adjustRightInd w:val="0"/>
        <w:jc w:val="left"/>
        <w:rPr>
          <w:rFonts w:ascii="华文仿宋" w:hAnsi="华文仿宋" w:eastAsia="华文仿宋" w:cs="华文仿宋"/>
          <w:b/>
          <w:kern w:val="0"/>
          <w:sz w:val="24"/>
          <w:szCs w:val="21"/>
        </w:rPr>
      </w:pPr>
      <w:r>
        <w:rPr>
          <w:rFonts w:hint="eastAsia" w:ascii="华文仿宋" w:hAnsi="华文仿宋" w:eastAsia="华文仿宋" w:cs="华文仿宋"/>
          <w:b/>
          <w:kern w:val="0"/>
          <w:sz w:val="24"/>
          <w:szCs w:val="21"/>
        </w:rPr>
        <w:t>5、公共营养师和注册营养师有什么区别？</w:t>
      </w:r>
    </w:p>
    <w:p>
      <w:pPr>
        <w:autoSpaceDE w:val="0"/>
        <w:autoSpaceDN w:val="0"/>
        <w:adjustRightInd w:val="0"/>
        <w:ind w:firstLine="480" w:firstLineChars="200"/>
        <w:jc w:val="left"/>
        <w:rPr>
          <w:rFonts w:hint="eastAsia" w:ascii="华文仿宋" w:hAnsi="华文仿宋" w:eastAsia="华文仿宋" w:cs="华文仿宋"/>
          <w:b/>
          <w:kern w:val="0"/>
          <w:sz w:val="24"/>
          <w:szCs w:val="21"/>
        </w:rPr>
      </w:pPr>
      <w:r>
        <w:rPr>
          <w:rFonts w:hint="eastAsia" w:ascii="华文仿宋" w:hAnsi="华文仿宋" w:eastAsia="华文仿宋" w:cs="华文仿宋"/>
          <w:kern w:val="0"/>
          <w:sz w:val="24"/>
          <w:szCs w:val="21"/>
        </w:rPr>
        <w:t>公共营养师是职业技能培训，是从事营养行业、健康管理行业的必学知识；注册营养师对报考者营养相关学历、从业年限、是否相关行业，参加过的课程培训等要求比较高，具体可参见中国营养学会官网：https://www.cnsoc.org/talentserviceg/902011200.html。</w:t>
      </w:r>
    </w:p>
    <w:p>
      <w:pPr>
        <w:autoSpaceDE w:val="0"/>
        <w:autoSpaceDN w:val="0"/>
        <w:adjustRightInd w:val="0"/>
        <w:jc w:val="left"/>
        <w:rPr>
          <w:rFonts w:hint="eastAsia" w:ascii="华文仿宋" w:hAnsi="华文仿宋" w:eastAsia="华文仿宋" w:cs="华文仿宋"/>
          <w:b/>
          <w:kern w:val="0"/>
          <w:sz w:val="24"/>
          <w:szCs w:val="21"/>
        </w:rPr>
      </w:pPr>
      <w:r>
        <w:rPr>
          <w:rFonts w:hint="eastAsia" w:ascii="华文仿宋" w:hAnsi="华文仿宋" w:eastAsia="华文仿宋" w:cs="华文仿宋"/>
          <w:b/>
          <w:kern w:val="0"/>
          <w:sz w:val="24"/>
          <w:szCs w:val="21"/>
        </w:rPr>
        <w:t>6</w:t>
      </w:r>
      <w:r>
        <w:rPr>
          <w:rFonts w:hint="eastAsia" w:ascii="华文仿宋" w:hAnsi="华文仿宋" w:eastAsia="华文仿宋" w:cs="华文仿宋"/>
          <w:b/>
          <w:kern w:val="0"/>
          <w:sz w:val="24"/>
          <w:szCs w:val="21"/>
          <w:lang w:eastAsia="zh-CN"/>
        </w:rPr>
        <w:t>、</w:t>
      </w:r>
      <w:r>
        <w:rPr>
          <w:rFonts w:hint="eastAsia" w:ascii="华文仿宋" w:hAnsi="华文仿宋" w:eastAsia="华文仿宋" w:cs="华文仿宋"/>
          <w:b/>
          <w:kern w:val="0"/>
          <w:sz w:val="24"/>
          <w:szCs w:val="21"/>
        </w:rPr>
        <w:t>考试时间及学时安排？</w:t>
      </w:r>
    </w:p>
    <w:p>
      <w:pPr>
        <w:numPr>
          <w:ilvl w:val="255"/>
          <w:numId w:val="0"/>
        </w:numPr>
        <w:autoSpaceDE w:val="0"/>
        <w:autoSpaceDN w:val="0"/>
        <w:adjustRightInd w:val="0"/>
        <w:jc w:val="left"/>
        <w:rPr>
          <w:rFonts w:ascii="华文仿宋" w:hAnsi="华文仿宋" w:eastAsia="华文仿宋" w:cs="华文仿宋"/>
          <w:kern w:val="0"/>
          <w:sz w:val="24"/>
          <w:szCs w:val="21"/>
        </w:rPr>
      </w:pPr>
      <w:r>
        <w:rPr>
          <w:rFonts w:hint="eastAsia" w:ascii="华文仿宋" w:hAnsi="华文仿宋" w:eastAsia="华文仿宋" w:cs="华文仿宋"/>
          <w:kern w:val="0"/>
          <w:sz w:val="24"/>
          <w:szCs w:val="21"/>
        </w:rPr>
        <w:t>考试时间：一年</w:t>
      </w:r>
      <w:r>
        <w:rPr>
          <w:rFonts w:hint="eastAsia" w:ascii="华文仿宋" w:hAnsi="华文仿宋" w:eastAsia="华文仿宋" w:cs="华文仿宋"/>
          <w:kern w:val="0"/>
          <w:sz w:val="24"/>
          <w:szCs w:val="21"/>
          <w:lang w:val="en-US" w:eastAsia="zh-CN"/>
        </w:rPr>
        <w:t>3</w:t>
      </w:r>
      <w:r>
        <w:rPr>
          <w:rFonts w:hint="eastAsia" w:ascii="华文仿宋" w:hAnsi="华文仿宋" w:eastAsia="华文仿宋" w:cs="华文仿宋"/>
          <w:kern w:val="0"/>
          <w:sz w:val="24"/>
          <w:szCs w:val="21"/>
        </w:rPr>
        <w:t>次考试，在</w:t>
      </w:r>
      <w:r>
        <w:rPr>
          <w:rFonts w:hint="eastAsia" w:ascii="华文仿宋" w:hAnsi="华文仿宋" w:eastAsia="华文仿宋" w:cs="华文仿宋"/>
          <w:kern w:val="0"/>
          <w:sz w:val="24"/>
          <w:szCs w:val="21"/>
          <w:lang w:val="en-US" w:eastAsia="zh-CN"/>
        </w:rPr>
        <w:t>4</w:t>
      </w:r>
      <w:r>
        <w:rPr>
          <w:rFonts w:hint="eastAsia" w:ascii="华文仿宋" w:hAnsi="华文仿宋" w:eastAsia="华文仿宋" w:cs="华文仿宋"/>
          <w:kern w:val="0"/>
          <w:sz w:val="24"/>
          <w:szCs w:val="21"/>
        </w:rPr>
        <w:t>月、</w:t>
      </w:r>
      <w:r>
        <w:rPr>
          <w:rFonts w:hint="eastAsia" w:ascii="华文仿宋" w:hAnsi="华文仿宋" w:eastAsia="华文仿宋" w:cs="华文仿宋"/>
          <w:kern w:val="0"/>
          <w:sz w:val="24"/>
          <w:szCs w:val="21"/>
          <w:lang w:val="en-US" w:eastAsia="zh-CN"/>
        </w:rPr>
        <w:t>7</w:t>
      </w:r>
      <w:r>
        <w:rPr>
          <w:rFonts w:hint="eastAsia" w:ascii="华文仿宋" w:hAnsi="华文仿宋" w:eastAsia="华文仿宋" w:cs="华文仿宋"/>
          <w:kern w:val="0"/>
          <w:sz w:val="24"/>
          <w:szCs w:val="21"/>
        </w:rPr>
        <w:t>月、</w:t>
      </w:r>
      <w:r>
        <w:rPr>
          <w:rFonts w:hint="eastAsia" w:ascii="华文仿宋" w:hAnsi="华文仿宋" w:eastAsia="华文仿宋" w:cs="华文仿宋"/>
          <w:kern w:val="0"/>
          <w:sz w:val="24"/>
          <w:szCs w:val="21"/>
          <w:lang w:val="en-US" w:eastAsia="zh-CN"/>
        </w:rPr>
        <w:t>11</w:t>
      </w:r>
      <w:r>
        <w:rPr>
          <w:rFonts w:hint="eastAsia" w:ascii="华文仿宋" w:hAnsi="华文仿宋" w:eastAsia="华文仿宋" w:cs="华文仿宋"/>
          <w:kern w:val="0"/>
          <w:sz w:val="24"/>
          <w:szCs w:val="21"/>
        </w:rPr>
        <w:t>月，以具体通知为准。</w:t>
      </w:r>
    </w:p>
    <w:p>
      <w:pPr>
        <w:numPr>
          <w:ilvl w:val="255"/>
          <w:numId w:val="0"/>
        </w:numPr>
        <w:autoSpaceDE w:val="0"/>
        <w:autoSpaceDN w:val="0"/>
        <w:adjustRightInd w:val="0"/>
        <w:jc w:val="left"/>
        <w:rPr>
          <w:rFonts w:ascii="华文仿宋" w:hAnsi="华文仿宋" w:eastAsia="华文仿宋" w:cs="华文仿宋"/>
          <w:sz w:val="24"/>
          <w:szCs w:val="21"/>
        </w:rPr>
      </w:pPr>
      <w:r>
        <w:rPr>
          <w:rFonts w:hint="eastAsia" w:ascii="华文仿宋" w:hAnsi="华文仿宋" w:eastAsia="华文仿宋" w:cs="华文仿宋"/>
          <w:kern w:val="0"/>
          <w:sz w:val="24"/>
          <w:szCs w:val="21"/>
        </w:rPr>
        <w:t>课时安排：理论知识60学时，三级技能58学时，四级59学时；</w:t>
      </w:r>
    </w:p>
    <w:p>
      <w:pPr>
        <w:autoSpaceDE w:val="0"/>
        <w:autoSpaceDN w:val="0"/>
        <w:adjustRightInd w:val="0"/>
        <w:jc w:val="left"/>
        <w:rPr>
          <w:rFonts w:ascii="华文仿宋" w:hAnsi="华文仿宋" w:eastAsia="华文仿宋" w:cs="华文仿宋"/>
          <w:b/>
          <w:kern w:val="0"/>
          <w:sz w:val="24"/>
          <w:szCs w:val="21"/>
        </w:rPr>
      </w:pPr>
      <w:r>
        <w:rPr>
          <w:rFonts w:hint="eastAsia" w:ascii="华文仿宋" w:hAnsi="华文仿宋" w:eastAsia="华文仿宋" w:cs="华文仿宋"/>
          <w:b/>
          <w:kern w:val="0"/>
          <w:sz w:val="24"/>
          <w:szCs w:val="21"/>
          <w:lang w:val="en-US" w:eastAsia="zh-CN"/>
        </w:rPr>
        <w:t>7</w:t>
      </w:r>
      <w:r>
        <w:rPr>
          <w:rFonts w:hint="eastAsia" w:ascii="华文仿宋" w:hAnsi="华文仿宋" w:eastAsia="华文仿宋" w:cs="华文仿宋"/>
          <w:b/>
          <w:kern w:val="0"/>
          <w:sz w:val="24"/>
          <w:szCs w:val="21"/>
        </w:rPr>
        <w:t>、公共营养师培训考核合格后的证书模板？</w:t>
      </w:r>
    </w:p>
    <w:p>
      <w:pPr>
        <w:autoSpaceDE w:val="0"/>
        <w:autoSpaceDN w:val="0"/>
        <w:adjustRightInd w:val="0"/>
        <w:ind w:firstLine="480" w:firstLineChars="200"/>
        <w:jc w:val="left"/>
        <w:rPr>
          <w:rFonts w:hint="eastAsia" w:ascii="华文仿宋" w:hAnsi="华文仿宋" w:eastAsia="华文仿宋" w:cs="华文仿宋"/>
          <w:kern w:val="0"/>
          <w:sz w:val="24"/>
          <w:szCs w:val="21"/>
          <w:lang w:val="en-US" w:eastAsia="zh-CN"/>
        </w:rPr>
      </w:pPr>
      <w:r>
        <w:rPr>
          <w:rFonts w:hint="eastAsia" w:ascii="华文仿宋" w:hAnsi="华文仿宋" w:eastAsia="华文仿宋" w:cs="华文仿宋"/>
          <w:kern w:val="0"/>
          <w:sz w:val="24"/>
          <w:szCs w:val="21"/>
        </w:rPr>
        <w:t>参加完相关等级技能培训，通过考核合格者可获得中国营养学会</w:t>
      </w:r>
      <w:r>
        <w:rPr>
          <w:rFonts w:hint="eastAsia" w:ascii="华文仿宋" w:hAnsi="华文仿宋" w:eastAsia="华文仿宋" w:cs="华文仿宋"/>
          <w:kern w:val="0"/>
          <w:sz w:val="24"/>
          <w:szCs w:val="21"/>
          <w:lang w:val="en-US" w:eastAsia="zh-CN"/>
        </w:rPr>
        <w:t>培训中心</w:t>
      </w:r>
      <w:r>
        <w:rPr>
          <w:rFonts w:hint="eastAsia" w:ascii="华文仿宋" w:hAnsi="华文仿宋" w:eastAsia="华文仿宋" w:cs="华文仿宋"/>
          <w:kern w:val="0"/>
          <w:sz w:val="24"/>
          <w:szCs w:val="21"/>
        </w:rPr>
        <w:t>颁发的</w:t>
      </w:r>
      <w:r>
        <w:rPr>
          <w:rFonts w:hint="eastAsia" w:ascii="华文仿宋" w:hAnsi="华文仿宋" w:eastAsia="华文仿宋" w:cs="华文仿宋"/>
          <w:kern w:val="0"/>
          <w:sz w:val="24"/>
          <w:szCs w:val="21"/>
          <w:lang w:val="en-US" w:eastAsia="zh-CN"/>
        </w:rPr>
        <w:t>证书：</w:t>
      </w:r>
    </w:p>
    <w:p>
      <w:pPr>
        <w:pStyle w:val="8"/>
        <w:spacing w:beforeAutospacing="0" w:afterAutospacing="0"/>
        <w:rPr>
          <w:rFonts w:ascii="华文仿宋" w:hAnsi="华文仿宋" w:eastAsia="华文仿宋" w:cs="华文仿宋"/>
          <w:b/>
          <w:bCs/>
          <w:szCs w:val="21"/>
        </w:rPr>
      </w:pPr>
      <w:r>
        <w:drawing>
          <wp:inline distT="0" distB="0" distL="114300" distR="114300">
            <wp:extent cx="4451350" cy="3125470"/>
            <wp:effectExtent l="0" t="0" r="6350" b="177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4451350" cy="3125470"/>
                    </a:xfrm>
                    <a:prstGeom prst="rect">
                      <a:avLst/>
                    </a:prstGeom>
                    <a:noFill/>
                    <a:ln>
                      <a:noFill/>
                    </a:ln>
                  </pic:spPr>
                </pic:pic>
              </a:graphicData>
            </a:graphic>
          </wp:inline>
        </w:drawing>
      </w:r>
    </w:p>
    <w:p>
      <w:pPr>
        <w:pStyle w:val="8"/>
        <w:spacing w:beforeAutospacing="0" w:afterAutospacing="0"/>
        <w:rPr>
          <w:rFonts w:ascii="华文仿宋" w:hAnsi="华文仿宋" w:eastAsia="华文仿宋" w:cs="华文仿宋"/>
          <w:szCs w:val="21"/>
        </w:rPr>
      </w:pPr>
      <w:r>
        <w:rPr>
          <w:rFonts w:hint="eastAsia" w:ascii="华文仿宋" w:hAnsi="华文仿宋" w:eastAsia="华文仿宋" w:cs="华文仿宋"/>
          <w:b/>
          <w:bCs/>
          <w:szCs w:val="21"/>
        </w:rPr>
        <w:t>说明：</w:t>
      </w:r>
      <w:r>
        <w:rPr>
          <w:rFonts w:hint="eastAsia" w:ascii="华文仿宋" w:hAnsi="华文仿宋" w:eastAsia="华文仿宋" w:cs="华文仿宋"/>
          <w:szCs w:val="21"/>
        </w:rPr>
        <w:t>学员根据报考条件符合报名四级或三级，且要求参加修完相应课程，方可参加等级考试；报名由北京营养师协会统一报名，考试由中国营养学会统一开考，考前会下发通知。</w:t>
      </w:r>
    </w:p>
    <w:p>
      <w:pPr>
        <w:pStyle w:val="8"/>
        <w:spacing w:beforeAutospacing="0" w:afterAutospacing="0"/>
        <w:rPr>
          <w:rFonts w:ascii="华文仿宋" w:hAnsi="华文仿宋" w:eastAsia="华文仿宋" w:cs="华文仿宋"/>
          <w:b/>
          <w:bCs/>
          <w:szCs w:val="24"/>
        </w:rPr>
      </w:pPr>
      <w:r>
        <w:rPr>
          <w:rFonts w:hint="eastAsia" w:ascii="华文仿宋" w:hAnsi="华文仿宋" w:eastAsia="华文仿宋" w:cs="华文仿宋"/>
          <w:b/>
          <w:bCs/>
          <w:szCs w:val="24"/>
          <w:lang w:val="en-US" w:eastAsia="zh-CN"/>
        </w:rPr>
        <w:t>8、</w:t>
      </w:r>
      <w:r>
        <w:rPr>
          <w:rFonts w:hint="eastAsia" w:ascii="华文仿宋" w:hAnsi="华文仿宋" w:eastAsia="华文仿宋" w:cs="华文仿宋"/>
          <w:b/>
          <w:bCs/>
          <w:szCs w:val="24"/>
        </w:rPr>
        <w:t>报考条件？</w:t>
      </w:r>
    </w:p>
    <w:p>
      <w:pPr>
        <w:pStyle w:val="8"/>
        <w:widowControl/>
        <w:shd w:val="clear" w:color="auto" w:fill="FFFFFF"/>
        <w:spacing w:beforeAutospacing="0" w:afterAutospacing="0" w:line="408" w:lineRule="atLeast"/>
        <w:jc w:val="both"/>
        <w:rPr>
          <w:rFonts w:ascii="华文仿宋" w:hAnsi="华文仿宋" w:eastAsia="华文仿宋" w:cs="华文仿宋"/>
          <w:sz w:val="24"/>
          <w:szCs w:val="24"/>
        </w:rPr>
      </w:pPr>
      <w:r>
        <w:rPr>
          <w:rFonts w:hint="eastAsia" w:ascii="华文仿宋" w:hAnsi="华文仿宋" w:eastAsia="华文仿宋" w:cs="华文仿宋"/>
          <w:spacing w:val="15"/>
          <w:szCs w:val="24"/>
          <w:shd w:val="clear" w:color="auto" w:fill="FFFFFF"/>
        </w:rPr>
        <w:t>遵守国家法律法规，恪守职业道德，具有完全民事行为能力，并符合《公共营养师国家职业技能标准》申报条件者，均可报考。</w:t>
      </w:r>
    </w:p>
    <w:p>
      <w:pPr>
        <w:pStyle w:val="8"/>
        <w:widowControl/>
        <w:shd w:val="clear" w:color="auto" w:fill="FFFFFF"/>
        <w:spacing w:beforeAutospacing="0" w:afterAutospacing="0" w:line="408" w:lineRule="atLeast"/>
        <w:jc w:val="both"/>
        <w:rPr>
          <w:rFonts w:ascii="华文仿宋" w:hAnsi="华文仿宋" w:eastAsia="华文仿宋" w:cs="华文仿宋"/>
          <w:spacing w:val="8"/>
          <w:szCs w:val="24"/>
        </w:rPr>
      </w:pPr>
      <w:r>
        <w:rPr>
          <w:rStyle w:val="12"/>
          <w:rFonts w:hint="eastAsia" w:ascii="华文仿宋" w:hAnsi="华文仿宋" w:eastAsia="华文仿宋" w:cs="华文仿宋"/>
          <w:spacing w:val="15"/>
          <w:szCs w:val="24"/>
          <w:shd w:val="clear" w:color="auto" w:fill="FFFFFF"/>
        </w:rPr>
        <w:t>四级公共营养师（具备以下条件之一者）:</w:t>
      </w:r>
    </w:p>
    <w:p>
      <w:pPr>
        <w:pStyle w:val="8"/>
        <w:widowControl/>
        <w:shd w:val="clear" w:color="auto" w:fill="FFFFFF"/>
        <w:spacing w:beforeAutospacing="0" w:afterAutospacing="0" w:line="408" w:lineRule="atLeast"/>
        <w:jc w:val="both"/>
        <w:rPr>
          <w:rFonts w:ascii="华文仿宋" w:hAnsi="华文仿宋" w:eastAsia="华文仿宋" w:cs="华文仿宋"/>
          <w:spacing w:val="8"/>
          <w:szCs w:val="24"/>
        </w:rPr>
      </w:pPr>
      <w:r>
        <w:rPr>
          <w:rFonts w:hint="eastAsia" w:ascii="华文仿宋" w:hAnsi="华文仿宋" w:eastAsia="华文仿宋" w:cs="华文仿宋"/>
          <w:spacing w:val="15"/>
          <w:szCs w:val="24"/>
          <w:shd w:val="clear" w:color="auto" w:fill="FFFFFF"/>
        </w:rPr>
        <w:t>1.连续从事本职业工作1年以上。</w:t>
      </w:r>
    </w:p>
    <w:p>
      <w:pPr>
        <w:pStyle w:val="8"/>
        <w:widowControl/>
        <w:shd w:val="clear" w:color="auto" w:fill="FFFFFF"/>
        <w:spacing w:beforeAutospacing="0" w:afterAutospacing="0" w:line="408" w:lineRule="atLeast"/>
        <w:jc w:val="both"/>
        <w:rPr>
          <w:rFonts w:ascii="华文仿宋" w:hAnsi="华文仿宋" w:eastAsia="华文仿宋" w:cs="华文仿宋"/>
          <w:spacing w:val="8"/>
          <w:szCs w:val="24"/>
        </w:rPr>
      </w:pPr>
      <w:r>
        <w:rPr>
          <w:rFonts w:hint="eastAsia" w:ascii="华文仿宋" w:hAnsi="华文仿宋" w:eastAsia="华文仿宋" w:cs="华文仿宋"/>
          <w:spacing w:val="15"/>
          <w:szCs w:val="24"/>
          <w:shd w:val="clear" w:color="auto" w:fill="FFFFFF"/>
        </w:rPr>
        <w:t>2.具有医学或食品专业中专毕业证书。</w:t>
      </w:r>
    </w:p>
    <w:p>
      <w:pPr>
        <w:pStyle w:val="8"/>
        <w:widowControl/>
        <w:shd w:val="clear" w:color="auto" w:fill="FFFFFF"/>
        <w:spacing w:beforeAutospacing="0" w:afterAutospacing="0" w:line="408" w:lineRule="atLeast"/>
        <w:jc w:val="both"/>
        <w:rPr>
          <w:rFonts w:ascii="华文仿宋" w:hAnsi="华文仿宋" w:eastAsia="华文仿宋" w:cs="华文仿宋"/>
          <w:spacing w:val="8"/>
          <w:szCs w:val="24"/>
        </w:rPr>
      </w:pPr>
      <w:r>
        <w:rPr>
          <w:rFonts w:hint="eastAsia" w:ascii="华文仿宋" w:hAnsi="华文仿宋" w:eastAsia="华文仿宋" w:cs="华文仿宋"/>
          <w:spacing w:val="15"/>
          <w:szCs w:val="24"/>
          <w:shd w:val="clear" w:color="auto" w:fill="FFFFFF"/>
        </w:rPr>
        <w:t>3.经四级公共营养师正规培训达规定标准学时数，并取得结业证书。</w:t>
      </w:r>
    </w:p>
    <w:p>
      <w:pPr>
        <w:pStyle w:val="8"/>
        <w:widowControl/>
        <w:shd w:val="clear" w:color="auto" w:fill="FFFFFF"/>
        <w:spacing w:beforeAutospacing="0" w:afterAutospacing="0" w:line="408" w:lineRule="atLeast"/>
        <w:jc w:val="both"/>
        <w:rPr>
          <w:rFonts w:ascii="华文仿宋" w:hAnsi="华文仿宋" w:eastAsia="华文仿宋" w:cs="华文仿宋"/>
          <w:spacing w:val="8"/>
          <w:szCs w:val="24"/>
        </w:rPr>
      </w:pPr>
      <w:r>
        <w:rPr>
          <w:rStyle w:val="12"/>
          <w:rFonts w:hint="eastAsia" w:ascii="华文仿宋" w:hAnsi="华文仿宋" w:eastAsia="华文仿宋" w:cs="华文仿宋"/>
          <w:spacing w:val="15"/>
          <w:szCs w:val="24"/>
          <w:shd w:val="clear" w:color="auto" w:fill="FFFFFF"/>
        </w:rPr>
        <w:t>三级公共营养师（具备以下条件之一者）:</w:t>
      </w:r>
    </w:p>
    <w:p>
      <w:pPr>
        <w:pStyle w:val="8"/>
        <w:widowControl/>
        <w:shd w:val="clear" w:color="auto" w:fill="FFFFFF"/>
        <w:spacing w:beforeAutospacing="0" w:afterAutospacing="0" w:line="408" w:lineRule="atLeast"/>
        <w:jc w:val="both"/>
        <w:rPr>
          <w:rFonts w:ascii="华文仿宋" w:hAnsi="华文仿宋" w:eastAsia="华文仿宋" w:cs="华文仿宋"/>
          <w:spacing w:val="8"/>
          <w:szCs w:val="24"/>
        </w:rPr>
      </w:pPr>
      <w:r>
        <w:rPr>
          <w:rFonts w:hint="eastAsia" w:ascii="华文仿宋" w:hAnsi="华文仿宋" w:eastAsia="华文仿宋" w:cs="华文仿宋"/>
          <w:spacing w:val="15"/>
          <w:szCs w:val="24"/>
          <w:shd w:val="clear" w:color="auto" w:fill="FFFFFF"/>
        </w:rPr>
        <w:t>1.连续从事本职业工作6年以上。</w:t>
      </w:r>
    </w:p>
    <w:p>
      <w:pPr>
        <w:pStyle w:val="8"/>
        <w:widowControl/>
        <w:shd w:val="clear" w:color="auto" w:fill="FFFFFF"/>
        <w:spacing w:beforeAutospacing="0" w:afterAutospacing="0" w:line="408" w:lineRule="atLeast"/>
        <w:jc w:val="both"/>
        <w:rPr>
          <w:rFonts w:ascii="华文仿宋" w:hAnsi="华文仿宋" w:eastAsia="华文仿宋" w:cs="华文仿宋"/>
          <w:spacing w:val="8"/>
          <w:szCs w:val="24"/>
        </w:rPr>
      </w:pPr>
      <w:r>
        <w:rPr>
          <w:rFonts w:hint="eastAsia" w:ascii="华文仿宋" w:hAnsi="华文仿宋" w:eastAsia="华文仿宋" w:cs="华文仿宋"/>
          <w:spacing w:val="15"/>
          <w:szCs w:val="24"/>
          <w:shd w:val="clear" w:color="auto" w:fill="FFFFFF"/>
        </w:rPr>
        <w:t>2.取得四级公共营养师职业资格证书后，连续从事本职业工作4年以上。</w:t>
      </w:r>
    </w:p>
    <w:p>
      <w:pPr>
        <w:pStyle w:val="8"/>
        <w:widowControl/>
        <w:shd w:val="clear" w:color="auto" w:fill="FFFFFF"/>
        <w:spacing w:beforeAutospacing="0" w:afterAutospacing="0" w:line="408" w:lineRule="atLeast"/>
        <w:jc w:val="both"/>
        <w:rPr>
          <w:rFonts w:ascii="华文仿宋" w:hAnsi="华文仿宋" w:eastAsia="华文仿宋" w:cs="华文仿宋"/>
          <w:spacing w:val="8"/>
          <w:szCs w:val="24"/>
        </w:rPr>
      </w:pPr>
      <w:r>
        <w:rPr>
          <w:rFonts w:hint="eastAsia" w:ascii="华文仿宋" w:hAnsi="华文仿宋" w:eastAsia="华文仿宋" w:cs="华文仿宋"/>
          <w:spacing w:val="15"/>
          <w:szCs w:val="24"/>
          <w:shd w:val="clear" w:color="auto" w:fill="FFFFFF"/>
        </w:rPr>
        <w:t>3.取得四级公共营养师职业资格证书后，连续从事本职业工作3年以上，经三级公共营养师正规培训达标准学时数，并取得结业证书。</w:t>
      </w:r>
    </w:p>
    <w:p>
      <w:pPr>
        <w:pStyle w:val="8"/>
        <w:widowControl/>
        <w:shd w:val="clear" w:color="auto" w:fill="FFFFFF"/>
        <w:spacing w:beforeAutospacing="0" w:afterAutospacing="0" w:line="408" w:lineRule="atLeast"/>
        <w:jc w:val="both"/>
        <w:rPr>
          <w:rFonts w:ascii="华文仿宋" w:hAnsi="华文仿宋" w:eastAsia="华文仿宋" w:cs="华文仿宋"/>
          <w:spacing w:val="8"/>
          <w:szCs w:val="24"/>
        </w:rPr>
      </w:pPr>
      <w:r>
        <w:rPr>
          <w:rFonts w:hint="eastAsia" w:ascii="华文仿宋" w:hAnsi="华文仿宋" w:eastAsia="华文仿宋" w:cs="华文仿宋"/>
          <w:spacing w:val="15"/>
          <w:szCs w:val="24"/>
          <w:shd w:val="clear" w:color="auto" w:fill="FFFFFF"/>
        </w:rPr>
        <w:t>4.具有医学或食品专业大学专科及以上学历证书。</w:t>
      </w:r>
    </w:p>
    <w:p>
      <w:pPr>
        <w:pStyle w:val="8"/>
        <w:widowControl/>
        <w:shd w:val="clear" w:color="auto" w:fill="FFFFFF"/>
        <w:spacing w:beforeAutospacing="0" w:afterAutospacing="0" w:line="408" w:lineRule="atLeast"/>
        <w:jc w:val="both"/>
        <w:rPr>
          <w:rFonts w:ascii="华文仿宋" w:hAnsi="华文仿宋" w:eastAsia="华文仿宋" w:cs="华文仿宋"/>
          <w:spacing w:val="8"/>
          <w:szCs w:val="24"/>
        </w:rPr>
      </w:pPr>
      <w:r>
        <w:rPr>
          <w:rFonts w:hint="eastAsia" w:ascii="华文仿宋" w:hAnsi="华文仿宋" w:eastAsia="华文仿宋" w:cs="华文仿宋"/>
          <w:spacing w:val="15"/>
          <w:szCs w:val="24"/>
          <w:shd w:val="clear" w:color="auto" w:fill="FFFFFF"/>
        </w:rPr>
        <w:t>5.具有非医学或食品专业大学专科及以上学历证书，连续从事本职业工作1年以上。</w:t>
      </w:r>
    </w:p>
    <w:p>
      <w:pPr>
        <w:pStyle w:val="8"/>
        <w:widowControl/>
        <w:shd w:val="clear" w:color="auto" w:fill="FFFFFF"/>
        <w:spacing w:beforeAutospacing="0" w:afterAutospacing="0" w:line="408" w:lineRule="atLeast"/>
        <w:jc w:val="both"/>
        <w:rPr>
          <w:rFonts w:ascii="华文仿宋" w:hAnsi="华文仿宋" w:eastAsia="华文仿宋" w:cs="华文仿宋"/>
          <w:spacing w:val="15"/>
          <w:szCs w:val="24"/>
          <w:shd w:val="clear" w:color="auto" w:fill="FFFFFF"/>
        </w:rPr>
      </w:pPr>
      <w:r>
        <w:rPr>
          <w:rFonts w:hint="eastAsia" w:ascii="华文仿宋" w:hAnsi="华文仿宋" w:eastAsia="华文仿宋" w:cs="华文仿宋"/>
          <w:spacing w:val="15"/>
          <w:szCs w:val="24"/>
          <w:shd w:val="clear" w:color="auto" w:fill="FFFFFF"/>
        </w:rPr>
        <w:t>6.具有非医学或食品专业大学专科及以上学历证书，经三级公共营养师正规培训达规定标准学时数，并取得结业证书。</w:t>
      </w:r>
    </w:p>
    <w:p>
      <w:pPr>
        <w:pStyle w:val="8"/>
        <w:widowControl/>
        <w:shd w:val="clear" w:color="auto" w:fill="FFFFFF"/>
        <w:spacing w:beforeAutospacing="0" w:afterAutospacing="0" w:line="408" w:lineRule="atLeast"/>
        <w:jc w:val="both"/>
        <w:rPr>
          <w:rFonts w:ascii="华文仿宋" w:hAnsi="华文仿宋" w:eastAsia="华文仿宋" w:cs="华文仿宋"/>
          <w:b/>
          <w:bCs/>
          <w:spacing w:val="15"/>
          <w:szCs w:val="24"/>
          <w:shd w:val="clear" w:color="auto" w:fill="FFFFFF"/>
        </w:rPr>
      </w:pPr>
      <w:r>
        <w:rPr>
          <w:rFonts w:hint="eastAsia" w:ascii="华文仿宋" w:hAnsi="华文仿宋" w:eastAsia="华文仿宋" w:cs="华文仿宋"/>
          <w:b/>
          <w:bCs/>
          <w:spacing w:val="15"/>
          <w:szCs w:val="24"/>
          <w:shd w:val="clear" w:color="auto" w:fill="FFFFFF"/>
          <w:lang w:val="en-US" w:eastAsia="zh-CN"/>
        </w:rPr>
        <w:t>9、</w:t>
      </w:r>
      <w:r>
        <w:rPr>
          <w:rFonts w:hint="eastAsia" w:ascii="华文仿宋" w:hAnsi="华文仿宋" w:eastAsia="华文仿宋" w:cs="华文仿宋"/>
          <w:b/>
          <w:bCs/>
          <w:spacing w:val="15"/>
          <w:szCs w:val="24"/>
          <w:shd w:val="clear" w:color="auto" w:fill="FFFFFF"/>
        </w:rPr>
        <w:t>考试时长、题型及补考费</w:t>
      </w:r>
    </w:p>
    <w:p>
      <w:pPr>
        <w:pStyle w:val="8"/>
        <w:widowControl/>
        <w:shd w:val="clear" w:color="auto" w:fill="FFFFFF"/>
        <w:spacing w:beforeAutospacing="0" w:afterAutospacing="0" w:line="408" w:lineRule="atLeast"/>
        <w:jc w:val="both"/>
        <w:rPr>
          <w:rFonts w:ascii="华文仿宋" w:hAnsi="华文仿宋" w:eastAsia="华文仿宋" w:cs="华文仿宋"/>
          <w:spacing w:val="15"/>
          <w:szCs w:val="24"/>
          <w:shd w:val="clear" w:color="auto" w:fill="FFFFFF"/>
        </w:rPr>
      </w:pPr>
      <w:r>
        <w:rPr>
          <w:rFonts w:hint="eastAsia" w:ascii="华文仿宋" w:hAnsi="华文仿宋" w:eastAsia="华文仿宋" w:cs="华文仿宋"/>
          <w:spacing w:val="15"/>
          <w:szCs w:val="24"/>
          <w:shd w:val="clear" w:color="auto" w:fill="FFFFFF"/>
        </w:rPr>
        <w:t>1）考试时长</w:t>
      </w:r>
    </w:p>
    <w:p>
      <w:pPr>
        <w:pStyle w:val="8"/>
        <w:widowControl/>
        <w:shd w:val="clear" w:color="auto" w:fill="FFFFFF"/>
        <w:spacing w:beforeAutospacing="0" w:afterAutospacing="0" w:line="408" w:lineRule="atLeast"/>
        <w:jc w:val="both"/>
        <w:rPr>
          <w:rFonts w:ascii="华文仿宋" w:hAnsi="华文仿宋" w:eastAsia="华文仿宋" w:cs="华文仿宋"/>
          <w:spacing w:val="8"/>
          <w:szCs w:val="24"/>
        </w:rPr>
      </w:pPr>
      <w:r>
        <w:rPr>
          <w:rFonts w:hint="eastAsia" w:ascii="华文仿宋" w:hAnsi="华文仿宋" w:eastAsia="华文仿宋" w:cs="华文仿宋"/>
          <w:spacing w:val="15"/>
          <w:szCs w:val="24"/>
          <w:shd w:val="clear" w:color="auto" w:fill="FFFFFF"/>
        </w:rPr>
        <w:t>理论知识90分钟，满分100分；</w:t>
      </w:r>
    </w:p>
    <w:p>
      <w:pPr>
        <w:pStyle w:val="8"/>
        <w:widowControl/>
        <w:shd w:val="clear" w:color="auto" w:fill="FFFFFF"/>
        <w:spacing w:beforeAutospacing="0" w:afterAutospacing="0" w:line="408" w:lineRule="atLeast"/>
        <w:jc w:val="both"/>
        <w:rPr>
          <w:rFonts w:hint="eastAsia" w:ascii="华文仿宋" w:hAnsi="华文仿宋" w:eastAsia="华文仿宋" w:cs="华文仿宋"/>
          <w:spacing w:val="15"/>
          <w:szCs w:val="24"/>
          <w:shd w:val="clear" w:color="auto" w:fill="FFFFFF"/>
        </w:rPr>
      </w:pPr>
      <w:r>
        <w:rPr>
          <w:rFonts w:hint="eastAsia" w:ascii="华文仿宋" w:hAnsi="华文仿宋" w:eastAsia="华文仿宋" w:cs="华文仿宋"/>
          <w:spacing w:val="15"/>
          <w:szCs w:val="24"/>
          <w:shd w:val="clear" w:color="auto" w:fill="FFFFFF"/>
        </w:rPr>
        <w:t>技能考核60分钟，满分100分；</w:t>
      </w:r>
    </w:p>
    <w:p>
      <w:pPr>
        <w:pStyle w:val="8"/>
        <w:widowControl/>
        <w:shd w:val="clear" w:color="auto" w:fill="FFFFFF"/>
        <w:spacing w:beforeAutospacing="0" w:afterAutospacing="0" w:line="408" w:lineRule="atLeast"/>
        <w:jc w:val="both"/>
        <w:rPr>
          <w:rFonts w:hint="eastAsia" w:ascii="华文仿宋" w:hAnsi="华文仿宋" w:eastAsia="华文仿宋" w:cs="华文仿宋"/>
          <w:spacing w:val="15"/>
          <w:szCs w:val="24"/>
          <w:shd w:val="clear" w:color="auto" w:fill="FFFFFF"/>
        </w:rPr>
      </w:pPr>
      <w:r>
        <w:rPr>
          <w:rFonts w:hint="eastAsia" w:ascii="华文仿宋" w:hAnsi="华文仿宋" w:eastAsia="华文仿宋" w:cs="华文仿宋"/>
          <w:spacing w:val="15"/>
          <w:szCs w:val="24"/>
          <w:shd w:val="clear" w:color="auto" w:fill="FFFFFF"/>
        </w:rPr>
        <w:t>合计150分钟</w:t>
      </w:r>
    </w:p>
    <w:p>
      <w:pPr>
        <w:pStyle w:val="8"/>
        <w:widowControl/>
        <w:shd w:val="clear" w:color="auto" w:fill="FFFFFF"/>
        <w:spacing w:beforeAutospacing="0" w:afterAutospacing="0" w:line="408" w:lineRule="atLeast"/>
        <w:jc w:val="both"/>
        <w:rPr>
          <w:rFonts w:hint="eastAsia" w:ascii="华文仿宋" w:hAnsi="华文仿宋" w:eastAsia="华文仿宋" w:cs="华文仿宋"/>
          <w:spacing w:val="15"/>
          <w:szCs w:val="24"/>
          <w:shd w:val="clear" w:color="auto" w:fill="FFFFFF"/>
        </w:rPr>
      </w:pPr>
      <w:r>
        <w:rPr>
          <w:rFonts w:hint="eastAsia" w:ascii="华文仿宋" w:hAnsi="华文仿宋" w:eastAsia="华文仿宋" w:cs="华文仿宋"/>
          <w:spacing w:val="15"/>
          <w:szCs w:val="24"/>
          <w:shd w:val="clear" w:color="auto" w:fill="FFFFFF"/>
        </w:rPr>
        <w:t>2）考试题型</w:t>
      </w:r>
    </w:p>
    <w:p>
      <w:pPr>
        <w:pStyle w:val="8"/>
        <w:widowControl/>
        <w:shd w:val="clear" w:color="auto" w:fill="FFFFFF"/>
        <w:spacing w:beforeAutospacing="0" w:afterAutospacing="0" w:line="408" w:lineRule="atLeast"/>
        <w:jc w:val="both"/>
        <w:rPr>
          <w:rFonts w:hint="eastAsia" w:ascii="华文仿宋" w:hAnsi="华文仿宋" w:eastAsia="华文仿宋" w:cs="华文仿宋"/>
          <w:spacing w:val="15"/>
          <w:szCs w:val="24"/>
          <w:shd w:val="clear" w:color="auto" w:fill="FFFFFF"/>
        </w:rPr>
      </w:pPr>
      <w:r>
        <w:rPr>
          <w:rFonts w:hint="eastAsia" w:ascii="华文仿宋" w:hAnsi="华文仿宋" w:eastAsia="华文仿宋" w:cs="华文仿宋"/>
          <w:spacing w:val="15"/>
          <w:szCs w:val="24"/>
          <w:shd w:val="clear" w:color="auto" w:fill="FFFFFF"/>
        </w:rPr>
        <w:t>考试题型：单选和多选题</w:t>
      </w:r>
    </w:p>
    <w:p>
      <w:pPr>
        <w:pStyle w:val="8"/>
        <w:widowControl/>
        <w:shd w:val="clear" w:color="auto" w:fill="FFFFFF"/>
        <w:spacing w:beforeAutospacing="0" w:afterAutospacing="0" w:line="408" w:lineRule="atLeast"/>
        <w:jc w:val="both"/>
        <w:rPr>
          <w:rFonts w:hint="eastAsia" w:ascii="华文仿宋" w:hAnsi="华文仿宋" w:eastAsia="华文仿宋" w:cs="华文仿宋"/>
          <w:spacing w:val="15"/>
          <w:szCs w:val="24"/>
          <w:shd w:val="clear" w:color="auto" w:fill="FFFFFF"/>
        </w:rPr>
      </w:pPr>
      <w:r>
        <w:rPr>
          <w:rFonts w:hint="eastAsia" w:ascii="华文仿宋" w:hAnsi="华文仿宋" w:eastAsia="华文仿宋" w:cs="华文仿宋"/>
          <w:spacing w:val="15"/>
          <w:szCs w:val="24"/>
          <w:shd w:val="clear" w:color="auto" w:fill="FFFFFF"/>
        </w:rPr>
        <w:t>理论：单选：70题，每题1分；多选：15题，每题2分；</w:t>
      </w:r>
    </w:p>
    <w:p>
      <w:pPr>
        <w:pStyle w:val="8"/>
        <w:widowControl/>
        <w:shd w:val="clear" w:color="auto" w:fill="FFFFFF"/>
        <w:spacing w:beforeAutospacing="0" w:afterAutospacing="0" w:line="408" w:lineRule="atLeast"/>
        <w:jc w:val="both"/>
        <w:rPr>
          <w:rFonts w:hint="eastAsia" w:ascii="华文仿宋" w:hAnsi="华文仿宋" w:eastAsia="华文仿宋" w:cs="华文仿宋"/>
          <w:spacing w:val="15"/>
          <w:szCs w:val="24"/>
          <w:shd w:val="clear" w:color="auto" w:fill="FFFFFF"/>
        </w:rPr>
      </w:pPr>
      <w:r>
        <w:rPr>
          <w:rFonts w:hint="eastAsia" w:ascii="华文仿宋" w:hAnsi="华文仿宋" w:eastAsia="华文仿宋" w:cs="华文仿宋"/>
          <w:spacing w:val="15"/>
          <w:szCs w:val="24"/>
          <w:shd w:val="clear" w:color="auto" w:fill="FFFFFF"/>
        </w:rPr>
        <w:t>技能：五道大题，每大题20分，单选或多选题。</w:t>
      </w:r>
    </w:p>
    <w:p>
      <w:pPr>
        <w:pStyle w:val="8"/>
        <w:widowControl/>
        <w:shd w:val="clear" w:color="auto" w:fill="FFFFFF"/>
        <w:spacing w:beforeAutospacing="0" w:afterAutospacing="0" w:line="408" w:lineRule="atLeast"/>
        <w:jc w:val="both"/>
        <w:rPr>
          <w:rFonts w:hint="eastAsia" w:ascii="华文仿宋" w:hAnsi="华文仿宋" w:eastAsia="华文仿宋" w:cs="华文仿宋"/>
          <w:spacing w:val="15"/>
          <w:szCs w:val="24"/>
          <w:shd w:val="clear" w:color="auto" w:fill="FFFFFF"/>
        </w:rPr>
      </w:pPr>
      <w:r>
        <w:rPr>
          <w:rFonts w:hint="eastAsia" w:ascii="华文仿宋" w:hAnsi="华文仿宋" w:eastAsia="华文仿宋" w:cs="华文仿宋"/>
          <w:spacing w:val="15"/>
          <w:szCs w:val="24"/>
          <w:shd w:val="clear" w:color="auto" w:fill="FFFFFF"/>
        </w:rPr>
        <w:t>可补考，补考费280元（以最终通知为准）</w:t>
      </w:r>
    </w:p>
    <w:p>
      <w:pPr>
        <w:autoSpaceDE w:val="0"/>
        <w:autoSpaceDN w:val="0"/>
        <w:adjustRightInd w:val="0"/>
        <w:jc w:val="left"/>
        <w:rPr>
          <w:rFonts w:ascii="华文仿宋" w:hAnsi="华文仿宋" w:eastAsia="华文仿宋" w:cs="华文仿宋"/>
          <w:b/>
          <w:kern w:val="0"/>
          <w:sz w:val="24"/>
          <w:szCs w:val="24"/>
        </w:rPr>
      </w:pPr>
      <w:r>
        <w:rPr>
          <w:rFonts w:hint="eastAsia" w:ascii="华文仿宋" w:hAnsi="华文仿宋" w:eastAsia="华文仿宋" w:cs="华文仿宋"/>
          <w:b/>
          <w:kern w:val="0"/>
          <w:sz w:val="24"/>
          <w:szCs w:val="24"/>
          <w:lang w:val="en-US" w:eastAsia="zh-CN"/>
        </w:rPr>
        <w:t>10</w:t>
      </w:r>
      <w:r>
        <w:rPr>
          <w:rFonts w:hint="eastAsia" w:ascii="华文仿宋" w:hAnsi="华文仿宋" w:eastAsia="华文仿宋" w:cs="华文仿宋"/>
          <w:b/>
          <w:kern w:val="0"/>
          <w:sz w:val="24"/>
          <w:szCs w:val="24"/>
        </w:rPr>
        <w:t>、报名及缴费链接</w:t>
      </w:r>
    </w:p>
    <w:p>
      <w:pPr>
        <w:autoSpaceDE w:val="0"/>
        <w:autoSpaceDN w:val="0"/>
        <w:adjustRightInd w:val="0"/>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报名：  公共营养师规范化培训报名链接：</w:t>
      </w:r>
    </w:p>
    <w:p>
      <w:pPr>
        <w:pStyle w:val="8"/>
        <w:numPr>
          <w:ilvl w:val="0"/>
          <w:numId w:val="2"/>
        </w:numPr>
        <w:spacing w:beforeAutospacing="0" w:afterAutospacing="0"/>
        <w:rPr>
          <w:rFonts w:ascii="华文仿宋" w:hAnsi="华文仿宋" w:eastAsia="华文仿宋" w:cs="华文仿宋"/>
          <w:bCs/>
          <w:szCs w:val="24"/>
        </w:rPr>
      </w:pPr>
      <w:r>
        <w:rPr>
          <w:rFonts w:hint="eastAsia" w:ascii="华文仿宋" w:hAnsi="华文仿宋" w:eastAsia="华文仿宋" w:cs="华文仿宋"/>
          <w:bCs/>
          <w:szCs w:val="24"/>
        </w:rPr>
        <w:t>北京健康管理协会公共营养师规范化培训报名链接：</w:t>
      </w:r>
    </w:p>
    <w:p>
      <w:pPr>
        <w:pStyle w:val="8"/>
        <w:spacing w:beforeAutospacing="0" w:afterAutospacing="0"/>
        <w:ind w:left="360"/>
        <w:rPr>
          <w:rFonts w:ascii="华文仿宋" w:hAnsi="华文仿宋" w:eastAsia="华文仿宋" w:cs="华文仿宋"/>
          <w:bCs/>
          <w:szCs w:val="24"/>
        </w:rPr>
      </w:pPr>
      <w:r>
        <w:rPr>
          <w:rFonts w:hint="eastAsia" w:ascii="华文仿宋" w:hAnsi="华文仿宋" w:eastAsia="华文仿宋" w:cs="华文仿宋"/>
          <w:bCs/>
          <w:szCs w:val="24"/>
        </w:rPr>
        <w:t>https://dietetic.wjx.cn/vj/tEMHf3Z.aspx</w:t>
      </w:r>
    </w:p>
    <w:p>
      <w:pPr>
        <w:pStyle w:val="8"/>
        <w:numPr>
          <w:ilvl w:val="0"/>
          <w:numId w:val="2"/>
        </w:numPr>
        <w:spacing w:beforeAutospacing="0" w:afterAutospacing="0"/>
        <w:rPr>
          <w:rFonts w:ascii="华文仿宋" w:hAnsi="华文仿宋" w:eastAsia="华文仿宋" w:cs="华文仿宋"/>
          <w:bCs/>
          <w:szCs w:val="24"/>
        </w:rPr>
      </w:pPr>
      <w:r>
        <w:rPr>
          <w:rFonts w:hint="eastAsia" w:ascii="华文仿宋" w:hAnsi="华文仿宋" w:eastAsia="华文仿宋" w:cs="华文仿宋"/>
          <w:bCs/>
          <w:szCs w:val="24"/>
        </w:rPr>
        <w:t>缴费：对公转账：</w:t>
      </w:r>
    </w:p>
    <w:p>
      <w:pPr>
        <w:pStyle w:val="8"/>
        <w:spacing w:beforeAutospacing="0" w:afterAutospacing="0"/>
        <w:rPr>
          <w:rFonts w:ascii="华文仿宋" w:hAnsi="华文仿宋" w:eastAsia="华文仿宋" w:cs="华文仿宋"/>
          <w:szCs w:val="24"/>
        </w:rPr>
      </w:pPr>
      <w:r>
        <w:rPr>
          <w:rFonts w:hint="eastAsia" w:ascii="华文仿宋" w:hAnsi="华文仿宋" w:eastAsia="华文仿宋" w:cs="华文仿宋"/>
          <w:szCs w:val="24"/>
        </w:rPr>
        <w:t>账户名：北京营养师协会</w:t>
      </w:r>
    </w:p>
    <w:p>
      <w:pPr>
        <w:pStyle w:val="8"/>
        <w:spacing w:beforeAutospacing="0" w:afterAutospacing="0"/>
        <w:rPr>
          <w:rFonts w:ascii="华文仿宋" w:hAnsi="华文仿宋" w:eastAsia="华文仿宋" w:cs="华文仿宋"/>
          <w:szCs w:val="24"/>
        </w:rPr>
      </w:pPr>
      <w:r>
        <w:rPr>
          <w:rFonts w:hint="eastAsia" w:ascii="华文仿宋" w:hAnsi="华文仿宋" w:eastAsia="华文仿宋" w:cs="华文仿宋"/>
          <w:szCs w:val="24"/>
        </w:rPr>
        <w:t>开户行：中国农业银行股份有限公司北京朱雀门支行</w:t>
      </w:r>
    </w:p>
    <w:p>
      <w:pPr>
        <w:pStyle w:val="8"/>
        <w:spacing w:beforeAutospacing="0" w:afterAutospacing="0"/>
        <w:rPr>
          <w:rFonts w:ascii="华文仿宋" w:hAnsi="华文仿宋" w:eastAsia="华文仿宋" w:cs="华文仿宋"/>
          <w:szCs w:val="24"/>
        </w:rPr>
      </w:pPr>
      <w:r>
        <w:rPr>
          <w:rFonts w:hint="eastAsia" w:ascii="华文仿宋" w:hAnsi="华文仿宋" w:eastAsia="华文仿宋" w:cs="华文仿宋"/>
          <w:szCs w:val="24"/>
        </w:rPr>
        <w:t>账  号：11171401040001151</w:t>
      </w:r>
    </w:p>
    <w:p>
      <w:pPr>
        <w:pStyle w:val="8"/>
        <w:spacing w:beforeAutospacing="0" w:afterAutospacing="0"/>
        <w:rPr>
          <w:rFonts w:hint="eastAsia" w:ascii="华文仿宋" w:hAnsi="华文仿宋" w:eastAsia="华文仿宋" w:cs="华文仿宋"/>
          <w:szCs w:val="24"/>
        </w:rPr>
      </w:pPr>
      <w:r>
        <w:rPr>
          <w:rFonts w:hint="eastAsia" w:ascii="华文仿宋" w:hAnsi="华文仿宋" w:eastAsia="华文仿宋" w:cs="华文仿宋"/>
          <w:szCs w:val="24"/>
        </w:rPr>
        <w:t>转账需注明“姓名+联系电话＋公共营养师培训”字样</w:t>
      </w:r>
    </w:p>
    <w:p>
      <w:pPr>
        <w:pStyle w:val="8"/>
        <w:spacing w:beforeAutospacing="0" w:afterAutospacing="0"/>
        <w:rPr>
          <w:rFonts w:hint="default" w:ascii="华文仿宋" w:hAnsi="华文仿宋" w:eastAsia="华文仿宋" w:cs="华文仿宋"/>
          <w:szCs w:val="24"/>
          <w:lang w:val="en-US" w:eastAsia="zh-CN"/>
        </w:rPr>
      </w:pPr>
      <w:r>
        <w:rPr>
          <w:rFonts w:hint="eastAsia" w:ascii="华文仿宋" w:hAnsi="华文仿宋" w:eastAsia="华文仿宋" w:cs="华文仿宋"/>
          <w:szCs w:val="24"/>
          <w:lang w:val="en-US" w:eastAsia="zh-CN"/>
        </w:rPr>
        <w:t>以上内容解释权为北京营养师协会负责。</w:t>
      </w:r>
    </w:p>
    <w:p>
      <w:pPr>
        <w:pStyle w:val="8"/>
        <w:wordWrap w:val="0"/>
        <w:spacing w:beforeAutospacing="0" w:afterAutospacing="0"/>
        <w:jc w:val="right"/>
        <w:rPr>
          <w:rFonts w:hint="default" w:ascii="华文仿宋" w:hAnsi="华文仿宋" w:eastAsia="华文仿宋" w:cs="华文仿宋"/>
          <w:szCs w:val="24"/>
          <w:lang w:val="en-US" w:eastAsia="zh-CN"/>
        </w:rPr>
      </w:pPr>
      <w:r>
        <w:rPr>
          <w:rFonts w:hint="eastAsia" w:ascii="华文仿宋" w:hAnsi="华文仿宋" w:eastAsia="华文仿宋" w:cs="华文仿宋"/>
          <w:szCs w:val="24"/>
          <w:lang w:val="en-US" w:eastAsia="zh-CN"/>
        </w:rPr>
        <w:t xml:space="preserve">                                                                                        2022年3月15日</w:t>
      </w: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iti SC Medium">
    <w:altName w:val="Arial Unicode MS"/>
    <w:panose1 w:val="00000000000000000000"/>
    <w:charset w:val="80"/>
    <w:family w:val="auto"/>
    <w:pitch w:val="default"/>
    <w:sig w:usb0="00000000" w:usb1="00000000" w:usb2="00000010" w:usb3="00000000" w:csb0="003E0001" w:csb1="00000000"/>
  </w:font>
  <w:font w:name="Arial Unicode MS">
    <w:panose1 w:val="020B0604020202020204"/>
    <w:charset w:val="86"/>
    <w:family w:val="auto"/>
    <w:pitch w:val="default"/>
    <w:sig w:usb0="FFFFFFFF" w:usb1="E9FFFFFF" w:usb2="0000003F" w:usb3="00000000" w:csb0="603F01FF" w:csb1="FFFF0000"/>
  </w:font>
  <w:font w:name=".PingFang SC">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C858B"/>
    <w:multiLevelType w:val="singleLevel"/>
    <w:tmpl w:val="4F6C858B"/>
    <w:lvl w:ilvl="0" w:tentative="0">
      <w:start w:val="1"/>
      <w:numFmt w:val="decimal"/>
      <w:suff w:val="nothing"/>
      <w:lvlText w:val="%1、"/>
      <w:lvlJc w:val="left"/>
    </w:lvl>
  </w:abstractNum>
  <w:abstractNum w:abstractNumId="1">
    <w:nsid w:val="74011C99"/>
    <w:multiLevelType w:val="multilevel"/>
    <w:tmpl w:val="74011C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A"/>
    <w:rsid w:val="00003F32"/>
    <w:rsid w:val="000053A6"/>
    <w:rsid w:val="00014931"/>
    <w:rsid w:val="00021768"/>
    <w:rsid w:val="00024D35"/>
    <w:rsid w:val="00034E65"/>
    <w:rsid w:val="00034EAC"/>
    <w:rsid w:val="00040341"/>
    <w:rsid w:val="00041CF0"/>
    <w:rsid w:val="0004301C"/>
    <w:rsid w:val="000564C4"/>
    <w:rsid w:val="00066469"/>
    <w:rsid w:val="0007117A"/>
    <w:rsid w:val="00081BCE"/>
    <w:rsid w:val="00090D18"/>
    <w:rsid w:val="000932E1"/>
    <w:rsid w:val="00095D34"/>
    <w:rsid w:val="000A0799"/>
    <w:rsid w:val="000A5B79"/>
    <w:rsid w:val="000A7A0D"/>
    <w:rsid w:val="000F5791"/>
    <w:rsid w:val="001100FD"/>
    <w:rsid w:val="001348BE"/>
    <w:rsid w:val="00144D6C"/>
    <w:rsid w:val="001534C4"/>
    <w:rsid w:val="0016403C"/>
    <w:rsid w:val="00185144"/>
    <w:rsid w:val="001941CB"/>
    <w:rsid w:val="00196BB3"/>
    <w:rsid w:val="001A5A3C"/>
    <w:rsid w:val="001C69EF"/>
    <w:rsid w:val="001C6BB9"/>
    <w:rsid w:val="001D1811"/>
    <w:rsid w:val="001E0A81"/>
    <w:rsid w:val="001F08BB"/>
    <w:rsid w:val="001F4C27"/>
    <w:rsid w:val="00207AA2"/>
    <w:rsid w:val="00211AB9"/>
    <w:rsid w:val="00214D7E"/>
    <w:rsid w:val="0021574A"/>
    <w:rsid w:val="002209F5"/>
    <w:rsid w:val="002324E6"/>
    <w:rsid w:val="00235513"/>
    <w:rsid w:val="002469D3"/>
    <w:rsid w:val="002508E6"/>
    <w:rsid w:val="00262197"/>
    <w:rsid w:val="00274505"/>
    <w:rsid w:val="00277358"/>
    <w:rsid w:val="00281132"/>
    <w:rsid w:val="002841A9"/>
    <w:rsid w:val="0028779C"/>
    <w:rsid w:val="00290643"/>
    <w:rsid w:val="002A3D9F"/>
    <w:rsid w:val="002B065E"/>
    <w:rsid w:val="002B09E1"/>
    <w:rsid w:val="002B2702"/>
    <w:rsid w:val="002C44E0"/>
    <w:rsid w:val="002D4977"/>
    <w:rsid w:val="002E31F6"/>
    <w:rsid w:val="002E767C"/>
    <w:rsid w:val="00315497"/>
    <w:rsid w:val="00315504"/>
    <w:rsid w:val="00317F9D"/>
    <w:rsid w:val="00322B95"/>
    <w:rsid w:val="00334632"/>
    <w:rsid w:val="00336D01"/>
    <w:rsid w:val="00344DA6"/>
    <w:rsid w:val="00345AE4"/>
    <w:rsid w:val="003525CF"/>
    <w:rsid w:val="00356205"/>
    <w:rsid w:val="003647DA"/>
    <w:rsid w:val="003651B9"/>
    <w:rsid w:val="003678EE"/>
    <w:rsid w:val="003827F9"/>
    <w:rsid w:val="00390FD6"/>
    <w:rsid w:val="0039237D"/>
    <w:rsid w:val="003B40D6"/>
    <w:rsid w:val="003C0038"/>
    <w:rsid w:val="003C3F0C"/>
    <w:rsid w:val="003C4DE4"/>
    <w:rsid w:val="003E2E10"/>
    <w:rsid w:val="0040714C"/>
    <w:rsid w:val="004142DF"/>
    <w:rsid w:val="004336C0"/>
    <w:rsid w:val="0045053C"/>
    <w:rsid w:val="004560C9"/>
    <w:rsid w:val="004625D3"/>
    <w:rsid w:val="0048697E"/>
    <w:rsid w:val="004941D0"/>
    <w:rsid w:val="00494DB2"/>
    <w:rsid w:val="00496B8D"/>
    <w:rsid w:val="004A5888"/>
    <w:rsid w:val="004B273B"/>
    <w:rsid w:val="004C5B3A"/>
    <w:rsid w:val="00511452"/>
    <w:rsid w:val="00542E08"/>
    <w:rsid w:val="00544E4E"/>
    <w:rsid w:val="00546265"/>
    <w:rsid w:val="005641A6"/>
    <w:rsid w:val="005662E5"/>
    <w:rsid w:val="0058124E"/>
    <w:rsid w:val="00583510"/>
    <w:rsid w:val="00597314"/>
    <w:rsid w:val="005A14A5"/>
    <w:rsid w:val="005A38A1"/>
    <w:rsid w:val="005B267B"/>
    <w:rsid w:val="005B6606"/>
    <w:rsid w:val="005D1534"/>
    <w:rsid w:val="005E4358"/>
    <w:rsid w:val="00620F24"/>
    <w:rsid w:val="00621084"/>
    <w:rsid w:val="00622DB7"/>
    <w:rsid w:val="0062490C"/>
    <w:rsid w:val="00625765"/>
    <w:rsid w:val="006364BA"/>
    <w:rsid w:val="006658FB"/>
    <w:rsid w:val="006852E8"/>
    <w:rsid w:val="006908F8"/>
    <w:rsid w:val="006979E7"/>
    <w:rsid w:val="006C1436"/>
    <w:rsid w:val="006D0822"/>
    <w:rsid w:val="006D31D2"/>
    <w:rsid w:val="00700FA4"/>
    <w:rsid w:val="00704020"/>
    <w:rsid w:val="00706A8B"/>
    <w:rsid w:val="007153F1"/>
    <w:rsid w:val="00715E19"/>
    <w:rsid w:val="00721498"/>
    <w:rsid w:val="007234B9"/>
    <w:rsid w:val="007254D9"/>
    <w:rsid w:val="007349C4"/>
    <w:rsid w:val="00736886"/>
    <w:rsid w:val="00743C42"/>
    <w:rsid w:val="00744A0C"/>
    <w:rsid w:val="0074551C"/>
    <w:rsid w:val="00776F63"/>
    <w:rsid w:val="00777BD2"/>
    <w:rsid w:val="00781791"/>
    <w:rsid w:val="007914F9"/>
    <w:rsid w:val="007C47BD"/>
    <w:rsid w:val="007C6B08"/>
    <w:rsid w:val="007D1026"/>
    <w:rsid w:val="007E501E"/>
    <w:rsid w:val="007E6043"/>
    <w:rsid w:val="007F1142"/>
    <w:rsid w:val="007F4E51"/>
    <w:rsid w:val="007F7096"/>
    <w:rsid w:val="008226CC"/>
    <w:rsid w:val="0082278E"/>
    <w:rsid w:val="008273F1"/>
    <w:rsid w:val="00834C4C"/>
    <w:rsid w:val="00860FF8"/>
    <w:rsid w:val="0086526E"/>
    <w:rsid w:val="008A394C"/>
    <w:rsid w:val="008D6C39"/>
    <w:rsid w:val="009022DF"/>
    <w:rsid w:val="009032F6"/>
    <w:rsid w:val="00921A2C"/>
    <w:rsid w:val="00931D63"/>
    <w:rsid w:val="009340C0"/>
    <w:rsid w:val="00934A4E"/>
    <w:rsid w:val="0095297C"/>
    <w:rsid w:val="00973EB1"/>
    <w:rsid w:val="00991A01"/>
    <w:rsid w:val="009A10CD"/>
    <w:rsid w:val="009A4BD0"/>
    <w:rsid w:val="009B55A8"/>
    <w:rsid w:val="009B5A13"/>
    <w:rsid w:val="009D1816"/>
    <w:rsid w:val="009D1F67"/>
    <w:rsid w:val="009D2B5B"/>
    <w:rsid w:val="009E776E"/>
    <w:rsid w:val="009F3533"/>
    <w:rsid w:val="009F6E78"/>
    <w:rsid w:val="00A17E56"/>
    <w:rsid w:val="00A43EEA"/>
    <w:rsid w:val="00A47C76"/>
    <w:rsid w:val="00A65680"/>
    <w:rsid w:val="00A725A2"/>
    <w:rsid w:val="00A773B1"/>
    <w:rsid w:val="00A8355E"/>
    <w:rsid w:val="00A8586B"/>
    <w:rsid w:val="00A96D41"/>
    <w:rsid w:val="00AA529B"/>
    <w:rsid w:val="00AB351A"/>
    <w:rsid w:val="00AB427D"/>
    <w:rsid w:val="00AC0BEE"/>
    <w:rsid w:val="00AC31D4"/>
    <w:rsid w:val="00AC6C21"/>
    <w:rsid w:val="00AD138B"/>
    <w:rsid w:val="00AD490E"/>
    <w:rsid w:val="00AF2D5D"/>
    <w:rsid w:val="00AF6162"/>
    <w:rsid w:val="00B04B80"/>
    <w:rsid w:val="00B062A2"/>
    <w:rsid w:val="00B0738A"/>
    <w:rsid w:val="00B12732"/>
    <w:rsid w:val="00B2493B"/>
    <w:rsid w:val="00B2595A"/>
    <w:rsid w:val="00B323DC"/>
    <w:rsid w:val="00B325D3"/>
    <w:rsid w:val="00B34EA4"/>
    <w:rsid w:val="00B44659"/>
    <w:rsid w:val="00B45D6A"/>
    <w:rsid w:val="00B46F20"/>
    <w:rsid w:val="00B50662"/>
    <w:rsid w:val="00B53746"/>
    <w:rsid w:val="00B564AA"/>
    <w:rsid w:val="00B56939"/>
    <w:rsid w:val="00B61C32"/>
    <w:rsid w:val="00B71B28"/>
    <w:rsid w:val="00B7560E"/>
    <w:rsid w:val="00B757A1"/>
    <w:rsid w:val="00BA2B49"/>
    <w:rsid w:val="00BB0A9B"/>
    <w:rsid w:val="00BB511A"/>
    <w:rsid w:val="00BC0BBA"/>
    <w:rsid w:val="00BD10B5"/>
    <w:rsid w:val="00BD47C6"/>
    <w:rsid w:val="00BE35F2"/>
    <w:rsid w:val="00BE7A53"/>
    <w:rsid w:val="00BF3516"/>
    <w:rsid w:val="00BF554F"/>
    <w:rsid w:val="00C06322"/>
    <w:rsid w:val="00C10A3E"/>
    <w:rsid w:val="00C12CD1"/>
    <w:rsid w:val="00C1764F"/>
    <w:rsid w:val="00C21CFF"/>
    <w:rsid w:val="00C33F44"/>
    <w:rsid w:val="00C40B8D"/>
    <w:rsid w:val="00C46C66"/>
    <w:rsid w:val="00C514A4"/>
    <w:rsid w:val="00C56080"/>
    <w:rsid w:val="00C7156B"/>
    <w:rsid w:val="00C77EDC"/>
    <w:rsid w:val="00C85C0B"/>
    <w:rsid w:val="00CD564A"/>
    <w:rsid w:val="00CD6474"/>
    <w:rsid w:val="00CE41AA"/>
    <w:rsid w:val="00CE591A"/>
    <w:rsid w:val="00D04337"/>
    <w:rsid w:val="00D07F5A"/>
    <w:rsid w:val="00D1715D"/>
    <w:rsid w:val="00D31F4F"/>
    <w:rsid w:val="00D401E2"/>
    <w:rsid w:val="00D42DED"/>
    <w:rsid w:val="00D445FA"/>
    <w:rsid w:val="00D54A43"/>
    <w:rsid w:val="00D62F7F"/>
    <w:rsid w:val="00D90CD0"/>
    <w:rsid w:val="00D931A8"/>
    <w:rsid w:val="00DC7C68"/>
    <w:rsid w:val="00DE6B50"/>
    <w:rsid w:val="00DE758C"/>
    <w:rsid w:val="00E03077"/>
    <w:rsid w:val="00E04613"/>
    <w:rsid w:val="00E04FF8"/>
    <w:rsid w:val="00E07C56"/>
    <w:rsid w:val="00E152E6"/>
    <w:rsid w:val="00E253A0"/>
    <w:rsid w:val="00E31308"/>
    <w:rsid w:val="00E33ADB"/>
    <w:rsid w:val="00E42000"/>
    <w:rsid w:val="00E45861"/>
    <w:rsid w:val="00E4731D"/>
    <w:rsid w:val="00E47C16"/>
    <w:rsid w:val="00E50C96"/>
    <w:rsid w:val="00E51068"/>
    <w:rsid w:val="00E5396E"/>
    <w:rsid w:val="00E57C57"/>
    <w:rsid w:val="00E7536D"/>
    <w:rsid w:val="00E756BF"/>
    <w:rsid w:val="00E83C81"/>
    <w:rsid w:val="00EA0E1C"/>
    <w:rsid w:val="00EA2128"/>
    <w:rsid w:val="00EB43C2"/>
    <w:rsid w:val="00EC25B4"/>
    <w:rsid w:val="00EE0772"/>
    <w:rsid w:val="00EF4CEE"/>
    <w:rsid w:val="00F057D0"/>
    <w:rsid w:val="00F11D0E"/>
    <w:rsid w:val="00F54D7B"/>
    <w:rsid w:val="00F566B7"/>
    <w:rsid w:val="00F5781A"/>
    <w:rsid w:val="00F62D8E"/>
    <w:rsid w:val="00F632A7"/>
    <w:rsid w:val="00F96DFF"/>
    <w:rsid w:val="00FB3E6E"/>
    <w:rsid w:val="00FB4261"/>
    <w:rsid w:val="00FB678F"/>
    <w:rsid w:val="00FC3E19"/>
    <w:rsid w:val="00FC5C95"/>
    <w:rsid w:val="01261423"/>
    <w:rsid w:val="0167693C"/>
    <w:rsid w:val="01700919"/>
    <w:rsid w:val="01884DBF"/>
    <w:rsid w:val="01CA1A11"/>
    <w:rsid w:val="01DF0741"/>
    <w:rsid w:val="01FE06C6"/>
    <w:rsid w:val="03D6784F"/>
    <w:rsid w:val="04144817"/>
    <w:rsid w:val="0611707E"/>
    <w:rsid w:val="06C643E1"/>
    <w:rsid w:val="06D82AB2"/>
    <w:rsid w:val="070D171C"/>
    <w:rsid w:val="071F7A33"/>
    <w:rsid w:val="083F00AC"/>
    <w:rsid w:val="08CA4960"/>
    <w:rsid w:val="09C11BBA"/>
    <w:rsid w:val="09DB1288"/>
    <w:rsid w:val="09E53042"/>
    <w:rsid w:val="0A284D7F"/>
    <w:rsid w:val="0A4C18C5"/>
    <w:rsid w:val="0BD4649C"/>
    <w:rsid w:val="0CDE746C"/>
    <w:rsid w:val="0CF66154"/>
    <w:rsid w:val="0D8E5C6F"/>
    <w:rsid w:val="0DC87A50"/>
    <w:rsid w:val="0F7A7B5C"/>
    <w:rsid w:val="10BC1767"/>
    <w:rsid w:val="113A191E"/>
    <w:rsid w:val="12924107"/>
    <w:rsid w:val="129836AE"/>
    <w:rsid w:val="12A46D8E"/>
    <w:rsid w:val="134E77DB"/>
    <w:rsid w:val="14FE0FA9"/>
    <w:rsid w:val="15AE0B44"/>
    <w:rsid w:val="15D462A5"/>
    <w:rsid w:val="16673452"/>
    <w:rsid w:val="175160AE"/>
    <w:rsid w:val="1837054D"/>
    <w:rsid w:val="187B5C16"/>
    <w:rsid w:val="196B4D02"/>
    <w:rsid w:val="1C416084"/>
    <w:rsid w:val="1D3461A6"/>
    <w:rsid w:val="1E6A2365"/>
    <w:rsid w:val="1E6D1253"/>
    <w:rsid w:val="1ED65356"/>
    <w:rsid w:val="1F0E74F2"/>
    <w:rsid w:val="1F8706DE"/>
    <w:rsid w:val="1FD81487"/>
    <w:rsid w:val="1FDA7C52"/>
    <w:rsid w:val="204F2D7C"/>
    <w:rsid w:val="212C1EFE"/>
    <w:rsid w:val="22DE081C"/>
    <w:rsid w:val="239F4E15"/>
    <w:rsid w:val="23C634DB"/>
    <w:rsid w:val="250E0D9E"/>
    <w:rsid w:val="25B97361"/>
    <w:rsid w:val="270E6088"/>
    <w:rsid w:val="292B17A4"/>
    <w:rsid w:val="29DA636A"/>
    <w:rsid w:val="2ADE613B"/>
    <w:rsid w:val="2B28070C"/>
    <w:rsid w:val="2B3C0F80"/>
    <w:rsid w:val="2C887FDA"/>
    <w:rsid w:val="2D533342"/>
    <w:rsid w:val="2E751944"/>
    <w:rsid w:val="2EAB7B63"/>
    <w:rsid w:val="3075733E"/>
    <w:rsid w:val="31D16E9F"/>
    <w:rsid w:val="33B37256"/>
    <w:rsid w:val="33EA4E69"/>
    <w:rsid w:val="34F8513A"/>
    <w:rsid w:val="36404540"/>
    <w:rsid w:val="365B5E29"/>
    <w:rsid w:val="37516C89"/>
    <w:rsid w:val="38470073"/>
    <w:rsid w:val="3C2004DB"/>
    <w:rsid w:val="3CA75F11"/>
    <w:rsid w:val="3E8F2F44"/>
    <w:rsid w:val="3EA414A0"/>
    <w:rsid w:val="3EFD0C2C"/>
    <w:rsid w:val="3EFD58AB"/>
    <w:rsid w:val="40616B36"/>
    <w:rsid w:val="40C51D92"/>
    <w:rsid w:val="42856810"/>
    <w:rsid w:val="45744E9E"/>
    <w:rsid w:val="45883327"/>
    <w:rsid w:val="45BD4CB6"/>
    <w:rsid w:val="45C854B9"/>
    <w:rsid w:val="45CE33FC"/>
    <w:rsid w:val="47806C88"/>
    <w:rsid w:val="48640EF1"/>
    <w:rsid w:val="490E0777"/>
    <w:rsid w:val="491D365D"/>
    <w:rsid w:val="4A71262A"/>
    <w:rsid w:val="4B1570D2"/>
    <w:rsid w:val="4CB32AE4"/>
    <w:rsid w:val="4DC067BC"/>
    <w:rsid w:val="4EFA37C0"/>
    <w:rsid w:val="4F8E693E"/>
    <w:rsid w:val="4FD9295A"/>
    <w:rsid w:val="500726D1"/>
    <w:rsid w:val="508B73C8"/>
    <w:rsid w:val="52156555"/>
    <w:rsid w:val="52CC4EBD"/>
    <w:rsid w:val="534076ED"/>
    <w:rsid w:val="537D2167"/>
    <w:rsid w:val="544A2314"/>
    <w:rsid w:val="55C2637E"/>
    <w:rsid w:val="55D04176"/>
    <w:rsid w:val="568A628E"/>
    <w:rsid w:val="57290A07"/>
    <w:rsid w:val="57E60B91"/>
    <w:rsid w:val="599E6837"/>
    <w:rsid w:val="5B36696E"/>
    <w:rsid w:val="5C600284"/>
    <w:rsid w:val="5DD11EBB"/>
    <w:rsid w:val="5DDA63F1"/>
    <w:rsid w:val="5E3377B8"/>
    <w:rsid w:val="60BD49A1"/>
    <w:rsid w:val="623B6823"/>
    <w:rsid w:val="62464153"/>
    <w:rsid w:val="62972CD1"/>
    <w:rsid w:val="62D40012"/>
    <w:rsid w:val="650B66E8"/>
    <w:rsid w:val="659A526F"/>
    <w:rsid w:val="66880BC2"/>
    <w:rsid w:val="675A5485"/>
    <w:rsid w:val="67C26D60"/>
    <w:rsid w:val="67DA0714"/>
    <w:rsid w:val="68D66222"/>
    <w:rsid w:val="6AA75686"/>
    <w:rsid w:val="6C643357"/>
    <w:rsid w:val="6C6920B8"/>
    <w:rsid w:val="6D8126A8"/>
    <w:rsid w:val="6E4C37EE"/>
    <w:rsid w:val="6E68573A"/>
    <w:rsid w:val="6ED7520E"/>
    <w:rsid w:val="6EDC3CE1"/>
    <w:rsid w:val="709019ED"/>
    <w:rsid w:val="70AA7DC0"/>
    <w:rsid w:val="70B46C1F"/>
    <w:rsid w:val="717847E5"/>
    <w:rsid w:val="733C170C"/>
    <w:rsid w:val="783E1259"/>
    <w:rsid w:val="790328FC"/>
    <w:rsid w:val="799C6A3F"/>
    <w:rsid w:val="7B692CFF"/>
    <w:rsid w:val="7D125994"/>
    <w:rsid w:val="7E8849DD"/>
    <w:rsid w:val="7F7C16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ascii="宋体" w:hAnsi="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33"/>
    <w:semiHidden/>
    <w:unhideWhenUsed/>
    <w:qFormat/>
    <w:uiPriority w:val="99"/>
    <w:pPr>
      <w:ind w:left="100" w:leftChars="2500"/>
    </w:pPr>
  </w:style>
  <w:style w:type="paragraph" w:styleId="5">
    <w:name w:val="Balloon Text"/>
    <w:basedOn w:val="1"/>
    <w:link w:val="40"/>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FollowedHyperlink"/>
    <w:basedOn w:val="11"/>
    <w:semiHidden/>
    <w:unhideWhenUsed/>
    <w:qFormat/>
    <w:uiPriority w:val="99"/>
    <w:rPr>
      <w:color w:val="3F88BF"/>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Variable"/>
    <w:basedOn w:val="11"/>
    <w:semiHidden/>
    <w:unhideWhenUsed/>
    <w:qFormat/>
    <w:uiPriority w:val="99"/>
  </w:style>
  <w:style w:type="character" w:styleId="17">
    <w:name w:val="Hyperlink"/>
    <w:basedOn w:val="11"/>
    <w:unhideWhenUsed/>
    <w:qFormat/>
    <w:uiPriority w:val="99"/>
    <w:rPr>
      <w:color w:val="0563C1" w:themeColor="hyperlink"/>
      <w:u w:val="single"/>
      <w14:textFill>
        <w14:solidFill>
          <w14:schemeClr w14:val="hlink"/>
        </w14:solidFill>
      </w14:textFill>
    </w:rPr>
  </w:style>
  <w:style w:type="character" w:styleId="18">
    <w:name w:val="HTML Code"/>
    <w:basedOn w:val="11"/>
    <w:semiHidden/>
    <w:unhideWhenUsed/>
    <w:qFormat/>
    <w:uiPriority w:val="99"/>
    <w:rPr>
      <w:rFonts w:hint="eastAsia" w:ascii="微软雅黑" w:hAnsi="微软雅黑" w:eastAsia="微软雅黑" w:cs="微软雅黑"/>
      <w:sz w:val="20"/>
    </w:rPr>
  </w:style>
  <w:style w:type="character" w:styleId="19">
    <w:name w:val="HTML Cite"/>
    <w:basedOn w:val="11"/>
    <w:semiHidden/>
    <w:unhideWhenUsed/>
    <w:qFormat/>
    <w:uiPriority w:val="99"/>
  </w:style>
  <w:style w:type="character" w:styleId="20">
    <w:name w:val="HTML Keyboard"/>
    <w:basedOn w:val="11"/>
    <w:semiHidden/>
    <w:unhideWhenUsed/>
    <w:qFormat/>
    <w:uiPriority w:val="99"/>
    <w:rPr>
      <w:rFonts w:hint="eastAsia" w:ascii="微软雅黑" w:hAnsi="微软雅黑" w:eastAsia="微软雅黑" w:cs="微软雅黑"/>
      <w:sz w:val="20"/>
    </w:rPr>
  </w:style>
  <w:style w:type="character" w:styleId="21">
    <w:name w:val="HTML Sample"/>
    <w:basedOn w:val="11"/>
    <w:semiHidden/>
    <w:unhideWhenUsed/>
    <w:qFormat/>
    <w:uiPriority w:val="99"/>
    <w:rPr>
      <w:rFonts w:hint="eastAsia" w:ascii="微软雅黑" w:hAnsi="微软雅黑" w:eastAsia="微软雅黑" w:cs="微软雅黑"/>
    </w:rPr>
  </w:style>
  <w:style w:type="character" w:customStyle="1" w:styleId="22">
    <w:name w:val="页眉 Char"/>
    <w:basedOn w:val="11"/>
    <w:link w:val="7"/>
    <w:qFormat/>
    <w:uiPriority w:val="99"/>
    <w:rPr>
      <w:sz w:val="18"/>
      <w:szCs w:val="18"/>
    </w:rPr>
  </w:style>
  <w:style w:type="character" w:customStyle="1" w:styleId="23">
    <w:name w:val="页脚 Char"/>
    <w:basedOn w:val="11"/>
    <w:link w:val="6"/>
    <w:qFormat/>
    <w:uiPriority w:val="99"/>
    <w:rPr>
      <w:sz w:val="18"/>
      <w:szCs w:val="18"/>
    </w:rPr>
  </w:style>
  <w:style w:type="character" w:customStyle="1" w:styleId="24">
    <w:name w:val="del-btn"/>
    <w:basedOn w:val="11"/>
    <w:qFormat/>
    <w:uiPriority w:val="0"/>
  </w:style>
  <w:style w:type="character" w:customStyle="1" w:styleId="25">
    <w:name w:val="del-btn1"/>
    <w:basedOn w:val="11"/>
    <w:qFormat/>
    <w:uiPriority w:val="0"/>
  </w:style>
  <w:style w:type="character" w:customStyle="1" w:styleId="26">
    <w:name w:val="bg"/>
    <w:basedOn w:val="11"/>
    <w:qFormat/>
    <w:uiPriority w:val="0"/>
    <w:rPr>
      <w:shd w:val="clear" w:color="auto" w:fill="000000"/>
    </w:rPr>
  </w:style>
  <w:style w:type="character" w:customStyle="1" w:styleId="27">
    <w:name w:val="bg1"/>
    <w:basedOn w:val="11"/>
    <w:qFormat/>
    <w:uiPriority w:val="0"/>
    <w:rPr>
      <w:shd w:val="clear" w:color="auto" w:fill="000000"/>
    </w:rPr>
  </w:style>
  <w:style w:type="character" w:customStyle="1" w:styleId="28">
    <w:name w:val="answer-title2"/>
    <w:basedOn w:val="11"/>
    <w:qFormat/>
    <w:uiPriority w:val="0"/>
  </w:style>
  <w:style w:type="character" w:customStyle="1" w:styleId="29">
    <w:name w:val="ask-title1"/>
    <w:basedOn w:val="11"/>
    <w:qFormat/>
    <w:uiPriority w:val="0"/>
    <w:rPr>
      <w:sz w:val="36"/>
      <w:szCs w:val="36"/>
    </w:rPr>
  </w:style>
  <w:style w:type="paragraph" w:styleId="30">
    <w:name w:val="List Paragraph"/>
    <w:basedOn w:val="1"/>
    <w:qFormat/>
    <w:uiPriority w:val="34"/>
    <w:pPr>
      <w:ind w:firstLine="420" w:firstLineChars="200"/>
    </w:pPr>
  </w:style>
  <w:style w:type="paragraph" w:customStyle="1" w:styleId="31">
    <w:name w:val="doctor-txt-infor-all"/>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fl"/>
    <w:qFormat/>
    <w:uiPriority w:val="0"/>
  </w:style>
  <w:style w:type="character" w:customStyle="1" w:styleId="33">
    <w:name w:val="日期 Char"/>
    <w:basedOn w:val="11"/>
    <w:link w:val="4"/>
    <w:semiHidden/>
    <w:qFormat/>
    <w:uiPriority w:val="99"/>
    <w:rPr>
      <w:rFonts w:ascii="Times New Roman" w:hAnsi="Times New Roman" w:eastAsia="宋体" w:cs="Times New Roman"/>
      <w:kern w:val="2"/>
      <w:sz w:val="21"/>
      <w:szCs w:val="22"/>
    </w:rPr>
  </w:style>
  <w:style w:type="character" w:customStyle="1" w:styleId="34">
    <w:name w:val="font51"/>
    <w:basedOn w:val="11"/>
    <w:qFormat/>
    <w:uiPriority w:val="0"/>
    <w:rPr>
      <w:rFonts w:ascii="华文宋体" w:hAnsi="华文宋体" w:eastAsia="华文宋体" w:cs="华文宋体"/>
      <w:color w:val="000000"/>
      <w:sz w:val="28"/>
      <w:szCs w:val="28"/>
      <w:u w:val="none"/>
    </w:rPr>
  </w:style>
  <w:style w:type="character" w:customStyle="1" w:styleId="35">
    <w:name w:val="font41"/>
    <w:basedOn w:val="11"/>
    <w:qFormat/>
    <w:uiPriority w:val="0"/>
    <w:rPr>
      <w:rFonts w:hint="eastAsia" w:ascii="宋体" w:hAnsi="宋体" w:eastAsia="宋体" w:cs="宋体"/>
      <w:color w:val="000000"/>
      <w:sz w:val="28"/>
      <w:szCs w:val="28"/>
      <w:u w:val="none"/>
    </w:rPr>
  </w:style>
  <w:style w:type="character" w:customStyle="1" w:styleId="36">
    <w:name w:val="font81"/>
    <w:basedOn w:val="11"/>
    <w:qFormat/>
    <w:uiPriority w:val="0"/>
    <w:rPr>
      <w:rFonts w:hint="eastAsia" w:ascii="宋体" w:hAnsi="宋体" w:eastAsia="宋体" w:cs="宋体"/>
      <w:color w:val="000000"/>
      <w:sz w:val="28"/>
      <w:szCs w:val="28"/>
      <w:u w:val="none"/>
    </w:rPr>
  </w:style>
  <w:style w:type="character" w:customStyle="1" w:styleId="37">
    <w:name w:val="font61"/>
    <w:basedOn w:val="11"/>
    <w:qFormat/>
    <w:uiPriority w:val="0"/>
    <w:rPr>
      <w:rFonts w:hint="eastAsia" w:ascii="华文宋体" w:hAnsi="华文宋体" w:eastAsia="华文宋体" w:cs="华文宋体"/>
      <w:color w:val="000000"/>
      <w:sz w:val="28"/>
      <w:szCs w:val="28"/>
      <w:u w:val="none"/>
    </w:rPr>
  </w:style>
  <w:style w:type="character" w:customStyle="1" w:styleId="38">
    <w:name w:val="font21"/>
    <w:basedOn w:val="11"/>
    <w:qFormat/>
    <w:uiPriority w:val="0"/>
    <w:rPr>
      <w:rFonts w:hint="eastAsia" w:ascii="宋体" w:hAnsi="宋体" w:eastAsia="宋体" w:cs="宋体"/>
      <w:color w:val="000000"/>
      <w:sz w:val="28"/>
      <w:szCs w:val="28"/>
      <w:u w:val="none"/>
    </w:rPr>
  </w:style>
  <w:style w:type="character" w:customStyle="1" w:styleId="39">
    <w:name w:val="font71"/>
    <w:basedOn w:val="11"/>
    <w:qFormat/>
    <w:uiPriority w:val="0"/>
    <w:rPr>
      <w:rFonts w:hint="eastAsia" w:ascii="华文宋体" w:hAnsi="华文宋体" w:eastAsia="华文宋体" w:cs="华文宋体"/>
      <w:b/>
      <w:color w:val="000000"/>
      <w:sz w:val="28"/>
      <w:szCs w:val="28"/>
      <w:u w:val="none"/>
    </w:rPr>
  </w:style>
  <w:style w:type="character" w:customStyle="1" w:styleId="40">
    <w:name w:val="批注框文本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rgbClr val="FF0000"/>
          </a:solidFill>
        </a:ln>
      </a:spPr>
      <a:bodyPr/>
      <a:lstStyle/>
      <a:style>
        <a:lnRef idx="2">
          <a:schemeClr val="accent2"/>
        </a:lnRef>
        <a:fillRef idx="0">
          <a:schemeClr val="accent2"/>
        </a:fillRef>
        <a:effectRef idx="1">
          <a:schemeClr val="accent2"/>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468BE-319F-44CB-8FB7-20B5BCC62603}">
  <ds:schemaRefs/>
</ds:datastoreItem>
</file>

<file path=docProps/app.xml><?xml version="1.0" encoding="utf-8"?>
<Properties xmlns="http://schemas.openxmlformats.org/officeDocument/2006/extended-properties" xmlns:vt="http://schemas.openxmlformats.org/officeDocument/2006/docPropsVTypes">
  <Template>Normal</Template>
  <Pages>10</Pages>
  <Words>2859</Words>
  <Characters>3113</Characters>
  <Lines>24</Lines>
  <Paragraphs>6</Paragraphs>
  <TotalTime>2</TotalTime>
  <ScaleCrop>false</ScaleCrop>
  <LinksUpToDate>false</LinksUpToDate>
  <CharactersWithSpaces>3314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2020-10-20T07:56:00Z</dcterms:created>
  <dc:creator>陈 一薇</dc:creator>
  <cp:lastModifiedBy>13810636258手机用户</cp:lastModifiedBy>
  <cp:lastPrinted>2021-05-13T07:13:00Z</cp:lastPrinted>
  <dcterms:modified xsi:type="dcterms:W3CDTF">2022-03-15T08:18:21Z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0291CAF0D06648EAA0B847FBDE06A5E3</vt:lpwstr>
  </property>
</Properties>
</file>